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pPr>
      <w:r>
        <w:rPr>
          <w:rFonts w:hint="eastAsia"/>
        </w:rPr>
        <w:t>附件1：项目</w:t>
      </w:r>
      <w:r>
        <w:t>任务书</w:t>
      </w:r>
    </w:p>
    <w:p>
      <w:pPr>
        <w:rPr>
          <w:rFonts w:ascii="黑体" w:hAnsi="黑体" w:eastAsia="黑体"/>
          <w:b/>
          <w:sz w:val="32"/>
          <w:szCs w:val="52"/>
        </w:rPr>
      </w:pPr>
    </w:p>
    <w:p>
      <w:pPr>
        <w:rPr>
          <w:rFonts w:ascii="黑体" w:hAnsi="黑体" w:eastAsia="黑体"/>
          <w:b/>
          <w:sz w:val="32"/>
          <w:szCs w:val="52"/>
        </w:rPr>
      </w:pPr>
    </w:p>
    <w:p>
      <w:pPr>
        <w:jc w:val="center"/>
        <w:rPr>
          <w:rFonts w:ascii="黑体" w:hAnsi="黑体" w:eastAsia="黑体"/>
          <w:b/>
          <w:sz w:val="52"/>
          <w:szCs w:val="52"/>
        </w:rPr>
      </w:pPr>
      <w:r>
        <w:rPr>
          <w:rFonts w:hint="eastAsia" w:ascii="黑体" w:hAnsi="黑体" w:eastAsia="黑体"/>
          <w:b/>
          <w:sz w:val="52"/>
          <w:szCs w:val="52"/>
        </w:rPr>
        <w:t>国家统计局湖南调查总队OA软件本地化迁移</w:t>
      </w:r>
    </w:p>
    <w:p>
      <w:pPr>
        <w:jc w:val="center"/>
        <w:rPr>
          <w:rFonts w:ascii="黑体" w:hAnsi="黑体" w:eastAsia="黑体"/>
          <w:b/>
          <w:sz w:val="52"/>
          <w:szCs w:val="52"/>
        </w:rPr>
      </w:pPr>
      <w:r>
        <w:rPr>
          <w:rFonts w:hint="eastAsia" w:ascii="黑体" w:hAnsi="黑体" w:eastAsia="黑体"/>
          <w:b/>
          <w:sz w:val="52"/>
          <w:szCs w:val="52"/>
        </w:rPr>
        <w:t>项目任务</w:t>
      </w:r>
      <w:r>
        <w:rPr>
          <w:rFonts w:ascii="黑体" w:hAnsi="黑体" w:eastAsia="黑体"/>
          <w:b/>
          <w:sz w:val="52"/>
          <w:szCs w:val="52"/>
        </w:rPr>
        <w:t>书</w:t>
      </w:r>
    </w:p>
    <w:p>
      <w:pPr>
        <w:jc w:val="center"/>
        <w:rPr>
          <w:rFonts w:ascii="黑体" w:hAnsi="黑体" w:eastAsia="黑体"/>
          <w:b/>
          <w:sz w:val="52"/>
          <w:szCs w:val="52"/>
        </w:rPr>
      </w:pPr>
    </w:p>
    <w:p>
      <w:pPr>
        <w:rPr>
          <w:rFonts w:ascii="黑体" w:hAnsi="黑体" w:eastAsia="黑体"/>
          <w:b/>
          <w:sz w:val="52"/>
          <w:szCs w:val="52"/>
        </w:rPr>
      </w:pPr>
    </w:p>
    <w:p>
      <w:pPr>
        <w:spacing w:line="360" w:lineRule="auto"/>
        <w:ind w:firstLine="560" w:firstLineChars="200"/>
        <w:rPr>
          <w:rFonts w:ascii="宋体" w:hAnsi="宋体"/>
          <w:sz w:val="28"/>
        </w:rPr>
      </w:pPr>
      <w:r>
        <w:rPr>
          <w:rFonts w:hint="eastAsia" w:ascii="宋体" w:hAnsi="宋体"/>
          <w:sz w:val="28"/>
        </w:rPr>
        <w:t>委 托 人（甲方）：国家统计局湖南调查总队</w:t>
      </w:r>
    </w:p>
    <w:p>
      <w:pPr>
        <w:spacing w:line="360" w:lineRule="auto"/>
        <w:ind w:firstLine="560" w:firstLineChars="200"/>
        <w:rPr>
          <w:rFonts w:ascii="宋体" w:hAnsi="宋体"/>
          <w:sz w:val="28"/>
        </w:rPr>
      </w:pPr>
      <w:r>
        <w:rPr>
          <w:rFonts w:hint="eastAsia" w:ascii="宋体" w:hAnsi="宋体"/>
          <w:sz w:val="28"/>
        </w:rPr>
        <w:t>研究开发人（乙方）：上海梦创双杨数据科技股份有限公司</w:t>
      </w:r>
    </w:p>
    <w:p>
      <w:pPr>
        <w:spacing w:line="360" w:lineRule="auto"/>
        <w:rPr>
          <w:rFonts w:ascii="宋体" w:hAnsi="宋体"/>
          <w:sz w:val="28"/>
        </w:rPr>
      </w:pPr>
    </w:p>
    <w:p>
      <w:pPr>
        <w:spacing w:line="360" w:lineRule="auto"/>
        <w:ind w:firstLine="560" w:firstLineChars="200"/>
        <w:rPr>
          <w:rFonts w:ascii="宋体" w:hAnsi="宋体"/>
          <w:sz w:val="28"/>
        </w:rPr>
      </w:pPr>
      <w:r>
        <w:rPr>
          <w:rFonts w:hint="eastAsia" w:ascii="宋体" w:hAnsi="宋体"/>
          <w:sz w:val="28"/>
        </w:rPr>
        <w:t>签订地点：北京</w:t>
      </w:r>
    </w:p>
    <w:p>
      <w:pPr>
        <w:spacing w:line="360" w:lineRule="auto"/>
        <w:ind w:firstLine="560" w:firstLineChars="200"/>
        <w:rPr>
          <w:rFonts w:ascii="宋体" w:hAnsi="宋体"/>
          <w:sz w:val="28"/>
        </w:rPr>
      </w:pPr>
      <w:r>
        <w:rPr>
          <w:rFonts w:hint="eastAsia" w:ascii="宋体" w:hAnsi="宋体"/>
          <w:sz w:val="28"/>
        </w:rPr>
        <w:t>签订日期：2017年  月  日</w:t>
      </w:r>
    </w:p>
    <w:p>
      <w:pPr>
        <w:spacing w:line="360" w:lineRule="auto"/>
        <w:ind w:firstLine="560" w:firstLineChars="200"/>
        <w:rPr>
          <w:rFonts w:ascii="宋体" w:hAnsi="宋体"/>
          <w:sz w:val="28"/>
        </w:rPr>
      </w:pPr>
      <w:r>
        <w:rPr>
          <w:rFonts w:hint="eastAsia" w:ascii="宋体" w:hAnsi="宋体"/>
          <w:sz w:val="28"/>
        </w:rPr>
        <w:t>有效期限：2017年  月日 至 2018年 月 日</w:t>
      </w:r>
    </w:p>
    <w:p>
      <w:pPr>
        <w:spacing w:line="360" w:lineRule="auto"/>
        <w:rPr>
          <w:rFonts w:ascii="宋体" w:hAnsi="宋体"/>
          <w:sz w:val="28"/>
        </w:rPr>
      </w:pPr>
    </w:p>
    <w:p>
      <w:pPr>
        <w:spacing w:line="360" w:lineRule="auto"/>
        <w:jc w:val="center"/>
        <w:rPr>
          <w:rFonts w:ascii="宋体" w:hAnsi="宋体"/>
          <w:sz w:val="28"/>
        </w:rPr>
      </w:pPr>
      <w:r>
        <w:rPr>
          <w:rFonts w:hint="eastAsia" w:ascii="宋体" w:hAnsi="宋体"/>
          <w:sz w:val="28"/>
        </w:rPr>
        <w:t>上海市科学技术委员会</w:t>
      </w:r>
    </w:p>
    <w:p>
      <w:pPr>
        <w:spacing w:line="360" w:lineRule="auto"/>
        <w:jc w:val="center"/>
        <w:rPr>
          <w:rFonts w:ascii="宋体" w:hAnsi="宋体"/>
          <w:sz w:val="28"/>
        </w:rPr>
      </w:pPr>
      <w:r>
        <w:rPr>
          <w:rFonts w:hint="eastAsia" w:ascii="宋体" w:hAnsi="宋体"/>
          <w:sz w:val="28"/>
        </w:rPr>
        <w:t>上海市工商行政管理局</w:t>
      </w:r>
    </w:p>
    <w:p>
      <w:pPr>
        <w:jc w:val="center"/>
        <w:rPr>
          <w:rFonts w:ascii="黑体" w:hAnsi="黑体" w:eastAsia="黑体"/>
          <w:b/>
          <w:sz w:val="32"/>
          <w:szCs w:val="32"/>
        </w:rPr>
      </w:pPr>
    </w:p>
    <w:p>
      <w:pPr>
        <w:pStyle w:val="2"/>
        <w:numPr>
          <w:ilvl w:val="0"/>
          <w:numId w:val="2"/>
        </w:numPr>
        <w:spacing w:before="120" w:after="120" w:line="360" w:lineRule="auto"/>
        <w:rPr>
          <w:rFonts w:ascii="黑体" w:hAnsi="黑体" w:eastAsia="黑体"/>
          <w:sz w:val="36"/>
        </w:rPr>
      </w:pPr>
      <w:bookmarkStart w:id="0" w:name="_Toc201463006"/>
      <w:bookmarkStart w:id="1" w:name="_Toc222114092"/>
      <w:bookmarkStart w:id="2" w:name="_Toc223330138"/>
      <w:bookmarkStart w:id="3" w:name="_Toc350715599"/>
      <w:bookmarkStart w:id="4" w:name="_Toc380067745"/>
      <w:r>
        <w:rPr>
          <w:rFonts w:hint="eastAsia" w:ascii="黑体" w:hAnsi="黑体" w:eastAsia="黑体"/>
          <w:sz w:val="36"/>
        </w:rPr>
        <w:t>项目</w:t>
      </w:r>
      <w:bookmarkEnd w:id="0"/>
      <w:bookmarkEnd w:id="1"/>
      <w:bookmarkEnd w:id="2"/>
      <w:r>
        <w:rPr>
          <w:rFonts w:hint="eastAsia" w:ascii="黑体" w:hAnsi="黑体" w:eastAsia="黑体"/>
          <w:sz w:val="36"/>
        </w:rPr>
        <w:t>概述</w:t>
      </w:r>
      <w:bookmarkEnd w:id="3"/>
      <w:bookmarkEnd w:id="4"/>
    </w:p>
    <w:p>
      <w:pPr>
        <w:pStyle w:val="3"/>
        <w:numPr>
          <w:ilvl w:val="1"/>
          <w:numId w:val="1"/>
        </w:numPr>
        <w:spacing w:before="120" w:after="120" w:line="360" w:lineRule="auto"/>
      </w:pPr>
      <w:bookmarkStart w:id="5" w:name="_Toc350715600"/>
      <w:bookmarkStart w:id="6" w:name="_Toc380067746"/>
      <w:r>
        <w:rPr>
          <w:rFonts w:hint="eastAsia"/>
        </w:rPr>
        <w:t>项目名称</w:t>
      </w:r>
      <w:bookmarkEnd w:id="5"/>
      <w:bookmarkEnd w:id="6"/>
    </w:p>
    <w:p>
      <w:pPr>
        <w:spacing w:line="360" w:lineRule="auto"/>
        <w:ind w:firstLine="480" w:firstLineChars="200"/>
        <w:rPr>
          <w:rFonts w:ascii="宋体" w:hAnsi="宋体"/>
          <w:sz w:val="24"/>
        </w:rPr>
      </w:pPr>
      <w:r>
        <w:rPr>
          <w:rFonts w:ascii="宋体" w:hAnsi="宋体"/>
          <w:sz w:val="24"/>
        </w:rPr>
        <w:t>国家统计局</w:t>
      </w:r>
      <w:r>
        <w:rPr>
          <w:rFonts w:hint="eastAsia" w:ascii="宋体" w:hAnsi="宋体"/>
          <w:sz w:val="24"/>
        </w:rPr>
        <w:t>湖南调查总队OA软件本地化迁移。</w:t>
      </w:r>
    </w:p>
    <w:p>
      <w:pPr>
        <w:pStyle w:val="3"/>
        <w:numPr>
          <w:ilvl w:val="1"/>
          <w:numId w:val="1"/>
        </w:numPr>
        <w:spacing w:before="120" w:after="120" w:line="360" w:lineRule="auto"/>
      </w:pPr>
      <w:bookmarkStart w:id="7" w:name="_Toc350715601"/>
      <w:bookmarkStart w:id="8" w:name="_Toc380067747"/>
      <w:r>
        <w:rPr>
          <w:rFonts w:hint="eastAsia"/>
        </w:rPr>
        <w:t>项目相关单位</w:t>
      </w:r>
      <w:bookmarkEnd w:id="7"/>
      <w:bookmarkEnd w:id="8"/>
    </w:p>
    <w:p>
      <w:pPr>
        <w:spacing w:line="360" w:lineRule="auto"/>
        <w:ind w:firstLine="480" w:firstLineChars="200"/>
        <w:rPr>
          <w:rFonts w:ascii="宋体" w:hAnsi="宋体"/>
          <w:sz w:val="24"/>
        </w:rPr>
      </w:pPr>
      <w:r>
        <w:rPr>
          <w:rFonts w:hint="eastAsia" w:ascii="宋体" w:hAnsi="宋体"/>
          <w:sz w:val="24"/>
        </w:rPr>
        <w:t>委 托 人（甲方）：</w:t>
      </w:r>
      <w:r>
        <w:rPr>
          <w:rFonts w:ascii="宋体" w:hAnsi="宋体"/>
          <w:sz w:val="24"/>
        </w:rPr>
        <w:t>国家统计局</w:t>
      </w:r>
      <w:r>
        <w:rPr>
          <w:rFonts w:hint="eastAsia" w:ascii="宋体" w:hAnsi="宋体"/>
          <w:sz w:val="24"/>
        </w:rPr>
        <w:t>湖南调查总队</w:t>
      </w:r>
    </w:p>
    <w:p>
      <w:pPr>
        <w:spacing w:line="360" w:lineRule="auto"/>
        <w:ind w:firstLine="480" w:firstLineChars="200"/>
        <w:rPr>
          <w:rFonts w:ascii="宋体" w:hAnsi="宋体"/>
          <w:sz w:val="24"/>
        </w:rPr>
      </w:pPr>
      <w:r>
        <w:rPr>
          <w:rFonts w:hint="eastAsia" w:ascii="宋体" w:hAnsi="宋体"/>
          <w:sz w:val="24"/>
        </w:rPr>
        <w:t>研究开发人（乙方）：上海梦创双杨数据科技股份有限公司</w:t>
      </w:r>
    </w:p>
    <w:p>
      <w:pPr>
        <w:pStyle w:val="3"/>
        <w:numPr>
          <w:ilvl w:val="1"/>
          <w:numId w:val="1"/>
        </w:numPr>
        <w:spacing w:before="120" w:after="120" w:line="360" w:lineRule="auto"/>
      </w:pPr>
      <w:bookmarkStart w:id="9" w:name="_Toc380067748"/>
      <w:r>
        <w:rPr>
          <w:rFonts w:hint="eastAsia"/>
        </w:rPr>
        <w:t>项目目标</w:t>
      </w:r>
      <w:bookmarkEnd w:id="9"/>
    </w:p>
    <w:p>
      <w:pPr>
        <w:spacing w:line="360" w:lineRule="auto"/>
        <w:ind w:firstLine="480" w:firstLineChars="200"/>
        <w:rPr>
          <w:rFonts w:ascii="宋体" w:hAnsi="宋体"/>
          <w:sz w:val="24"/>
        </w:rPr>
      </w:pPr>
      <w:r>
        <w:rPr>
          <w:rFonts w:hint="eastAsia" w:ascii="宋体" w:hAnsi="宋体"/>
          <w:sz w:val="24"/>
        </w:rPr>
        <w:t>根据湖南调查总队综合办公自动化管理系统设要求，以使用安全、管理便捷为原则</w:t>
      </w:r>
      <w:r>
        <w:rPr>
          <w:rFonts w:hint="eastAsia" w:ascii="宋体" w:hAnsi="宋体"/>
          <w:sz w:val="24"/>
          <w:szCs w:val="30"/>
        </w:rPr>
        <w:t>，以国家统计系统信息基础设施、安全体系和管理体系为基础，结合已有</w:t>
      </w:r>
      <w:r>
        <w:rPr>
          <w:rFonts w:ascii="宋体" w:hAnsi="宋体"/>
          <w:sz w:val="24"/>
          <w:szCs w:val="30"/>
        </w:rPr>
        <w:t>OA</w:t>
      </w:r>
      <w:r>
        <w:rPr>
          <w:rFonts w:hint="eastAsia" w:ascii="宋体" w:hAnsi="宋体"/>
          <w:sz w:val="24"/>
          <w:szCs w:val="30"/>
        </w:rPr>
        <w:t>系统的操作习惯，对原有国家统计局集团版OA中湖南调查队功能及数据部分进行迁移与升级，于湖南调查总队本地化建设一套符合用户需求的OA系统，使之</w:t>
      </w:r>
      <w:r>
        <w:rPr>
          <w:rFonts w:hint="eastAsia" w:ascii="宋体" w:hAnsi="宋体"/>
          <w:sz w:val="24"/>
        </w:rPr>
        <w:t>进一步</w:t>
      </w:r>
      <w:r>
        <w:rPr>
          <w:rFonts w:ascii="宋体" w:hAnsi="宋体"/>
          <w:sz w:val="24"/>
        </w:rPr>
        <w:t>提升</w:t>
      </w:r>
      <w:r>
        <w:rPr>
          <w:rFonts w:hint="eastAsia" w:ascii="宋体" w:hAnsi="宋体"/>
          <w:sz w:val="24"/>
        </w:rPr>
        <w:t>办公</w:t>
      </w:r>
      <w:r>
        <w:rPr>
          <w:rFonts w:ascii="宋体" w:hAnsi="宋体"/>
          <w:sz w:val="24"/>
        </w:rPr>
        <w:t>信息化整体</w:t>
      </w:r>
      <w:r>
        <w:rPr>
          <w:rFonts w:hint="eastAsia" w:ascii="宋体" w:hAnsi="宋体"/>
          <w:sz w:val="24"/>
        </w:rPr>
        <w:t>水平和管理上的便捷性</w:t>
      </w:r>
      <w:r>
        <w:rPr>
          <w:rFonts w:hint="eastAsia" w:ascii="宋体" w:hAnsi="宋体"/>
          <w:sz w:val="24"/>
          <w:szCs w:val="30"/>
        </w:rPr>
        <w:t>。</w:t>
      </w:r>
    </w:p>
    <w:p>
      <w:pPr>
        <w:pStyle w:val="3"/>
        <w:numPr>
          <w:ilvl w:val="1"/>
          <w:numId w:val="1"/>
        </w:numPr>
        <w:spacing w:before="120" w:after="120" w:line="360" w:lineRule="auto"/>
      </w:pPr>
      <w:r>
        <w:rPr>
          <w:rFonts w:hint="eastAsia"/>
        </w:rPr>
        <w:t>总体要求</w:t>
      </w:r>
    </w:p>
    <w:p>
      <w:pPr>
        <w:pStyle w:val="15"/>
        <w:numPr>
          <w:ilvl w:val="0"/>
          <w:numId w:val="3"/>
        </w:numPr>
        <w:tabs>
          <w:tab w:val="left" w:pos="993"/>
        </w:tabs>
        <w:ind w:left="0" w:firstLine="566" w:firstLineChars="236"/>
        <w:rPr>
          <w:rFonts w:ascii="宋体" w:hAnsi="宋体"/>
          <w:szCs w:val="30"/>
        </w:rPr>
      </w:pPr>
      <w:bookmarkStart w:id="10" w:name="_Toc350715605"/>
      <w:r>
        <w:rPr>
          <w:rFonts w:hint="eastAsia" w:ascii="宋体" w:hAnsi="宋体"/>
          <w:szCs w:val="30"/>
        </w:rPr>
        <w:t>满足本地化部署与管理要求；</w:t>
      </w:r>
    </w:p>
    <w:p>
      <w:pPr>
        <w:pStyle w:val="15"/>
        <w:numPr>
          <w:ilvl w:val="0"/>
          <w:numId w:val="3"/>
        </w:numPr>
        <w:tabs>
          <w:tab w:val="left" w:pos="993"/>
        </w:tabs>
        <w:ind w:left="0" w:firstLine="566" w:firstLineChars="236"/>
        <w:rPr>
          <w:rFonts w:ascii="宋体" w:hAnsi="宋体"/>
          <w:szCs w:val="30"/>
        </w:rPr>
      </w:pPr>
      <w:r>
        <w:rPr>
          <w:rFonts w:hint="eastAsia" w:ascii="宋体" w:hAnsi="宋体"/>
          <w:szCs w:val="30"/>
        </w:rPr>
        <w:t>满足省市县各级调查队办公系统应用的建设需求；</w:t>
      </w:r>
    </w:p>
    <w:p>
      <w:pPr>
        <w:pStyle w:val="15"/>
        <w:numPr>
          <w:ilvl w:val="0"/>
          <w:numId w:val="3"/>
        </w:numPr>
        <w:tabs>
          <w:tab w:val="left" w:pos="993"/>
        </w:tabs>
        <w:ind w:left="0" w:firstLine="566" w:firstLineChars="236"/>
        <w:rPr>
          <w:rFonts w:ascii="宋体" w:hAnsi="宋体"/>
          <w:szCs w:val="30"/>
        </w:rPr>
      </w:pPr>
      <w:r>
        <w:rPr>
          <w:rFonts w:hint="eastAsia" w:ascii="宋体" w:hAnsi="宋体"/>
          <w:szCs w:val="30"/>
        </w:rPr>
        <w:t>用户数量需满足1000人，并发数支持</w:t>
      </w:r>
      <w:r>
        <w:rPr>
          <w:rFonts w:ascii="宋体" w:hAnsi="宋体"/>
          <w:szCs w:val="30"/>
        </w:rPr>
        <w:t>1</w:t>
      </w:r>
      <w:r>
        <w:rPr>
          <w:rFonts w:hint="eastAsia" w:ascii="宋体" w:hAnsi="宋体"/>
          <w:szCs w:val="30"/>
        </w:rPr>
        <w:t>0</w:t>
      </w:r>
      <w:r>
        <w:rPr>
          <w:rFonts w:ascii="宋体" w:hAnsi="宋体"/>
          <w:szCs w:val="30"/>
        </w:rPr>
        <w:t>0</w:t>
      </w:r>
      <w:r>
        <w:rPr>
          <w:rFonts w:hint="eastAsia" w:ascii="宋体" w:hAnsi="宋体"/>
          <w:szCs w:val="30"/>
        </w:rPr>
        <w:t>并发的应用需求；</w:t>
      </w:r>
    </w:p>
    <w:p>
      <w:pPr>
        <w:pStyle w:val="15"/>
        <w:numPr>
          <w:ilvl w:val="0"/>
          <w:numId w:val="3"/>
        </w:numPr>
        <w:tabs>
          <w:tab w:val="left" w:pos="993"/>
        </w:tabs>
        <w:ind w:left="0" w:firstLine="566" w:firstLineChars="236"/>
        <w:rPr>
          <w:rFonts w:ascii="宋体" w:hAnsi="宋体"/>
          <w:szCs w:val="30"/>
        </w:rPr>
      </w:pPr>
      <w:r>
        <w:rPr>
          <w:rFonts w:hint="eastAsia" w:ascii="宋体" w:hAnsi="宋体"/>
          <w:szCs w:val="30"/>
        </w:rPr>
        <w:t>保留已有操作习惯，满足应用平滑移植的需求；</w:t>
      </w:r>
    </w:p>
    <w:p>
      <w:pPr>
        <w:pStyle w:val="15"/>
        <w:numPr>
          <w:ilvl w:val="0"/>
          <w:numId w:val="3"/>
        </w:numPr>
        <w:tabs>
          <w:tab w:val="left" w:pos="993"/>
        </w:tabs>
        <w:ind w:left="0" w:firstLine="566" w:firstLineChars="236"/>
        <w:rPr>
          <w:rFonts w:ascii="宋体" w:hAnsi="宋体"/>
          <w:szCs w:val="30"/>
        </w:rPr>
      </w:pPr>
      <w:r>
        <w:rPr>
          <w:rFonts w:hint="eastAsia" w:ascii="宋体" w:hAnsi="宋体"/>
          <w:szCs w:val="30"/>
        </w:rPr>
        <w:t>对湖南省各级调查队已有的办公数据，安全实现历史数据迁移；</w:t>
      </w:r>
    </w:p>
    <w:p>
      <w:pPr>
        <w:pStyle w:val="15"/>
        <w:numPr>
          <w:ilvl w:val="0"/>
          <w:numId w:val="3"/>
        </w:numPr>
        <w:tabs>
          <w:tab w:val="left" w:pos="993"/>
        </w:tabs>
        <w:ind w:left="0" w:firstLine="566" w:firstLineChars="236"/>
        <w:rPr>
          <w:rFonts w:ascii="宋体" w:hAnsi="宋体"/>
          <w:szCs w:val="30"/>
        </w:rPr>
      </w:pPr>
      <w:r>
        <w:rPr>
          <w:rFonts w:hint="eastAsia" w:ascii="宋体" w:hAnsi="宋体"/>
          <w:szCs w:val="30"/>
        </w:rPr>
        <w:t>满足项目实施进度、培训、运维服务的各项详细要求；</w:t>
      </w:r>
    </w:p>
    <w:p>
      <w:pPr>
        <w:pStyle w:val="15"/>
        <w:numPr>
          <w:ilvl w:val="0"/>
          <w:numId w:val="3"/>
        </w:numPr>
        <w:tabs>
          <w:tab w:val="left" w:pos="993"/>
        </w:tabs>
        <w:ind w:left="0" w:firstLine="566" w:firstLineChars="236"/>
        <w:rPr>
          <w:rFonts w:ascii="宋体" w:hAnsi="宋体"/>
          <w:szCs w:val="30"/>
        </w:rPr>
      </w:pPr>
      <w:r>
        <w:rPr>
          <w:rFonts w:hint="eastAsia" w:ascii="宋体" w:hAnsi="宋体"/>
          <w:szCs w:val="30"/>
        </w:rPr>
        <w:t>甲方拥有针对本项目开发的最终软件产品的全部版权。</w:t>
      </w:r>
    </w:p>
    <w:p>
      <w:pPr>
        <w:pStyle w:val="3"/>
        <w:numPr>
          <w:ilvl w:val="1"/>
          <w:numId w:val="1"/>
        </w:numPr>
        <w:spacing w:before="120" w:after="120" w:line="360" w:lineRule="auto"/>
      </w:pPr>
      <w:r>
        <w:rPr>
          <w:rFonts w:hint="eastAsia"/>
        </w:rPr>
        <w:t>环境要求</w:t>
      </w:r>
    </w:p>
    <w:p>
      <w:pPr>
        <w:pStyle w:val="15"/>
        <w:tabs>
          <w:tab w:val="left" w:pos="993"/>
        </w:tabs>
        <w:ind w:firstLine="0" w:firstLineChars="0"/>
        <w:rPr>
          <w:rFonts w:ascii="宋体" w:hAnsi="宋体"/>
          <w:szCs w:val="30"/>
        </w:rPr>
      </w:pPr>
      <w:r>
        <w:rPr>
          <w:rFonts w:hint="eastAsia" w:ascii="宋体" w:hAnsi="宋体"/>
          <w:szCs w:val="30"/>
        </w:rPr>
        <w:t xml:space="preserve">    基于便捷以及安全原则，使用linux服务器环境，以tomcat为中间件，Orcale或MySQL数据库为数据承载，搭建新版系统。</w:t>
      </w:r>
    </w:p>
    <w:p>
      <w:pPr>
        <w:pStyle w:val="3"/>
        <w:numPr>
          <w:ilvl w:val="1"/>
          <w:numId w:val="1"/>
        </w:numPr>
        <w:spacing w:before="120" w:after="120" w:line="360" w:lineRule="auto"/>
      </w:pPr>
      <w:bookmarkStart w:id="11" w:name="_Toc380067750"/>
      <w:r>
        <w:rPr>
          <w:rFonts w:hint="eastAsia"/>
        </w:rPr>
        <w:t>建设任务</w:t>
      </w:r>
      <w:bookmarkEnd w:id="10"/>
      <w:bookmarkEnd w:id="11"/>
    </w:p>
    <w:p>
      <w:pPr>
        <w:spacing w:line="360" w:lineRule="auto"/>
        <w:ind w:firstLine="480" w:firstLineChars="200"/>
        <w:rPr>
          <w:b/>
          <w:bCs/>
          <w:kern w:val="44"/>
          <w:sz w:val="52"/>
          <w:szCs w:val="44"/>
        </w:rPr>
      </w:pPr>
      <w:r>
        <w:rPr>
          <w:rFonts w:hint="eastAsia" w:ascii="宋体" w:hAnsi="宋体"/>
          <w:sz w:val="24"/>
        </w:rPr>
        <w:t>本次项目建设包括系统迁移、历史数据迁移、OA功能新增及完善、角色梳理、各功能表单梳理统一、各级调查队办理流程统一修改等工作；将国家统计局集团版</w:t>
      </w:r>
      <w:r>
        <w:rPr>
          <w:rFonts w:ascii="宋体" w:hAnsi="宋体"/>
          <w:sz w:val="24"/>
        </w:rPr>
        <w:t>OA</w:t>
      </w:r>
      <w:r>
        <w:rPr>
          <w:rFonts w:hint="eastAsia" w:ascii="宋体" w:hAnsi="宋体"/>
          <w:sz w:val="24"/>
        </w:rPr>
        <w:t>中湖南调查总队相关所有功能迁移并升级，实现湖南调查总队新OA系统本地化部署。从而全面提高湖南调查总队系统的办公效率、管理能力和服务水平。</w:t>
      </w:r>
    </w:p>
    <w:p>
      <w:pPr>
        <w:pStyle w:val="2"/>
        <w:numPr>
          <w:ilvl w:val="0"/>
          <w:numId w:val="2"/>
        </w:numPr>
        <w:spacing w:before="120" w:after="120" w:line="360" w:lineRule="auto"/>
        <w:rPr>
          <w:rFonts w:ascii="黑体" w:hAnsi="黑体" w:eastAsia="黑体"/>
          <w:sz w:val="36"/>
        </w:rPr>
      </w:pPr>
      <w:bookmarkStart w:id="12" w:name="_Toc350715606"/>
      <w:bookmarkStart w:id="13" w:name="_Toc380067751"/>
      <w:r>
        <w:rPr>
          <w:rFonts w:hint="eastAsia" w:ascii="黑体" w:hAnsi="黑体" w:eastAsia="黑体"/>
          <w:sz w:val="36"/>
        </w:rPr>
        <w:t>项目建设内容</w:t>
      </w:r>
      <w:bookmarkEnd w:id="12"/>
      <w:bookmarkEnd w:id="13"/>
    </w:p>
    <w:p>
      <w:pPr>
        <w:spacing w:line="360" w:lineRule="auto"/>
        <w:ind w:firstLine="480" w:firstLineChars="200"/>
        <w:rPr>
          <w:rFonts w:ascii="宋体" w:hAnsi="宋体"/>
          <w:sz w:val="24"/>
        </w:rPr>
      </w:pPr>
      <w:r>
        <w:rPr>
          <w:rFonts w:hint="eastAsia" w:ascii="宋体" w:hAnsi="宋体"/>
          <w:sz w:val="24"/>
        </w:rPr>
        <w:t>项目建设内容包括以下几个方面：</w:t>
      </w:r>
    </w:p>
    <w:p>
      <w:pPr>
        <w:pStyle w:val="3"/>
        <w:numPr>
          <w:ilvl w:val="1"/>
          <w:numId w:val="2"/>
        </w:numPr>
        <w:spacing w:before="120" w:after="120" w:line="360" w:lineRule="auto"/>
        <w:rPr>
          <w:rFonts w:ascii="宋体" w:hAnsi="宋体"/>
          <w:sz w:val="28"/>
          <w:szCs w:val="28"/>
        </w:rPr>
      </w:pPr>
      <w:r>
        <w:rPr>
          <w:rFonts w:hint="eastAsia" w:ascii="宋体" w:hAnsi="宋体"/>
          <w:sz w:val="28"/>
          <w:szCs w:val="28"/>
        </w:rPr>
        <w:t>系统迁移</w:t>
      </w:r>
    </w:p>
    <w:p>
      <w:pPr>
        <w:spacing w:line="360" w:lineRule="auto"/>
        <w:ind w:firstLine="480" w:firstLineChars="200"/>
        <w:rPr>
          <w:rFonts w:ascii="宋体" w:hAnsi="宋体"/>
          <w:sz w:val="24"/>
        </w:rPr>
      </w:pPr>
      <w:r>
        <w:rPr>
          <w:rFonts w:hint="eastAsia" w:ascii="宋体" w:hAnsi="宋体"/>
          <w:sz w:val="24"/>
        </w:rPr>
        <w:t>本次系统建设以本地化部署为核心，以系统迁移为主体，以本单位应用管理为单元，进行迁移、部署、升级、测试和试运行等阶段性工作，满足湖南调查总队OA系统的本地化部署以及各层级调查队之间的数据交换。</w:t>
      </w:r>
    </w:p>
    <w:p>
      <w:pPr>
        <w:pStyle w:val="4"/>
        <w:numPr>
          <w:ilvl w:val="2"/>
          <w:numId w:val="4"/>
        </w:numPr>
        <w:spacing w:before="120" w:after="120" w:line="360" w:lineRule="auto"/>
        <w:rPr>
          <w:sz w:val="28"/>
        </w:rPr>
      </w:pPr>
      <w:r>
        <w:rPr>
          <w:rFonts w:hint="eastAsia"/>
          <w:sz w:val="28"/>
        </w:rPr>
        <w:t>系统项目迁移</w:t>
      </w:r>
    </w:p>
    <w:p>
      <w:pPr>
        <w:spacing w:line="360" w:lineRule="auto"/>
        <w:ind w:firstLine="480" w:firstLineChars="200"/>
        <w:rPr>
          <w:rFonts w:ascii="宋体" w:hAnsi="宋体"/>
          <w:sz w:val="24"/>
        </w:rPr>
      </w:pPr>
      <w:r>
        <w:rPr>
          <w:rFonts w:hint="eastAsia" w:ascii="宋体" w:hAnsi="宋体"/>
          <w:sz w:val="24"/>
        </w:rPr>
        <w:t>以Linux作为系统服务器操作系统，部署jdk以及tomcat中间件，需要迁移国家统计局集团版OA系统中湖南调查总队相关所有项目文件，并在此基础上改造升级为最新Ezweb系统版本。</w:t>
      </w:r>
    </w:p>
    <w:p>
      <w:pPr>
        <w:pStyle w:val="4"/>
        <w:numPr>
          <w:ilvl w:val="2"/>
          <w:numId w:val="4"/>
        </w:numPr>
        <w:spacing w:before="120" w:after="120" w:line="360" w:lineRule="auto"/>
        <w:rPr>
          <w:sz w:val="28"/>
        </w:rPr>
      </w:pPr>
      <w:r>
        <w:rPr>
          <w:rFonts w:hint="eastAsia"/>
          <w:sz w:val="28"/>
        </w:rPr>
        <w:t>数据迁移</w:t>
      </w:r>
    </w:p>
    <w:p>
      <w:pPr>
        <w:spacing w:line="360" w:lineRule="auto"/>
        <w:ind w:firstLine="480" w:firstLineChars="200"/>
        <w:rPr>
          <w:rFonts w:ascii="宋体" w:hAnsi="宋体"/>
          <w:sz w:val="24"/>
        </w:rPr>
      </w:pPr>
      <w:r>
        <w:rPr>
          <w:rFonts w:hint="eastAsia" w:ascii="宋体" w:hAnsi="宋体"/>
          <w:sz w:val="24"/>
        </w:rPr>
        <w:t>以Linux作为数据服务器操作系统，部署Orcale 11g版本数据库，需要迁移国家统计局集团版OA系统中湖南调查总队相关所有功能配置数据和历史业务数据。同时迁移国家统计局集团版OA系统中湖南调查总队业务数据相关附件文件。确保数据迁移的安全性、完整性和正确性（目前全省各级调查队历史业务数据达4000份以上）。</w:t>
      </w:r>
    </w:p>
    <w:p>
      <w:pPr>
        <w:pStyle w:val="3"/>
        <w:numPr>
          <w:ilvl w:val="1"/>
          <w:numId w:val="2"/>
        </w:numPr>
        <w:spacing w:before="120" w:after="120" w:line="360" w:lineRule="auto"/>
        <w:rPr>
          <w:rFonts w:ascii="宋体" w:hAnsi="宋体"/>
          <w:sz w:val="28"/>
          <w:szCs w:val="28"/>
        </w:rPr>
      </w:pPr>
      <w:r>
        <w:rPr>
          <w:rFonts w:hint="eastAsia" w:ascii="宋体" w:hAnsi="宋体"/>
          <w:sz w:val="28"/>
          <w:szCs w:val="28"/>
        </w:rPr>
        <w:t>OA功能新增及完善</w:t>
      </w:r>
    </w:p>
    <w:p>
      <w:pPr>
        <w:spacing w:line="360" w:lineRule="auto"/>
        <w:ind w:firstLine="480" w:firstLineChars="200"/>
        <w:rPr>
          <w:sz w:val="24"/>
        </w:rPr>
      </w:pPr>
      <w:r>
        <w:rPr>
          <w:rFonts w:hint="eastAsia" w:ascii="宋体" w:hAnsi="宋体"/>
          <w:sz w:val="24"/>
        </w:rPr>
        <w:t>在原有国家统计局集团版OA系统功能上，完善及增加以下功能：</w:t>
      </w:r>
    </w:p>
    <w:p>
      <w:pPr>
        <w:pStyle w:val="15"/>
        <w:numPr>
          <w:ilvl w:val="0"/>
          <w:numId w:val="5"/>
        </w:numPr>
        <w:ind w:firstLine="147" w:firstLineChars="0"/>
        <w:rPr>
          <w:rFonts w:ascii="宋体" w:hAnsi="宋体"/>
          <w:szCs w:val="30"/>
        </w:rPr>
      </w:pPr>
      <w:r>
        <w:rPr>
          <w:rFonts w:hint="eastAsia"/>
          <w:szCs w:val="24"/>
        </w:rPr>
        <w:t>增加OA文件的退回功能及主动撤回功能</w:t>
      </w:r>
      <w:r>
        <w:rPr>
          <w:rFonts w:hint="eastAsia" w:ascii="宋体" w:hAnsi="宋体"/>
          <w:szCs w:val="30"/>
        </w:rPr>
        <w:t>；</w:t>
      </w:r>
    </w:p>
    <w:p>
      <w:pPr>
        <w:pStyle w:val="15"/>
        <w:numPr>
          <w:ilvl w:val="0"/>
          <w:numId w:val="5"/>
        </w:numPr>
        <w:ind w:left="0" w:firstLine="567" w:firstLineChars="0"/>
        <w:rPr>
          <w:rFonts w:ascii="宋体" w:hAnsi="宋体"/>
          <w:szCs w:val="30"/>
        </w:rPr>
      </w:pPr>
      <w:r>
        <w:rPr>
          <w:rFonts w:hint="eastAsia"/>
          <w:szCs w:val="24"/>
        </w:rPr>
        <w:t>发文增加范围：内部报告、请示，调成多选，可以分发</w:t>
      </w:r>
      <w:r>
        <w:rPr>
          <w:rFonts w:hint="eastAsia" w:ascii="宋体" w:hAnsi="宋体"/>
          <w:szCs w:val="30"/>
        </w:rPr>
        <w:t>；</w:t>
      </w:r>
    </w:p>
    <w:p>
      <w:pPr>
        <w:pStyle w:val="15"/>
        <w:numPr>
          <w:ilvl w:val="0"/>
          <w:numId w:val="5"/>
        </w:numPr>
        <w:ind w:left="0" w:firstLine="567" w:firstLineChars="0"/>
        <w:rPr>
          <w:rFonts w:ascii="宋体" w:hAnsi="宋体"/>
          <w:szCs w:val="30"/>
        </w:rPr>
      </w:pPr>
      <w:r>
        <w:rPr>
          <w:rFonts w:hint="eastAsia" w:ascii="宋体" w:hAnsi="宋体"/>
          <w:szCs w:val="30"/>
        </w:rPr>
        <w:t>完善浏览器兼容性；</w:t>
      </w:r>
    </w:p>
    <w:p>
      <w:pPr>
        <w:pStyle w:val="15"/>
        <w:numPr>
          <w:ilvl w:val="0"/>
          <w:numId w:val="5"/>
        </w:numPr>
        <w:ind w:left="0" w:firstLine="567" w:firstLineChars="0"/>
        <w:rPr>
          <w:rFonts w:ascii="宋体" w:hAnsi="宋体"/>
          <w:szCs w:val="30"/>
        </w:rPr>
      </w:pPr>
      <w:r>
        <w:rPr>
          <w:rFonts w:hint="eastAsia" w:ascii="宋体" w:hAnsi="宋体"/>
          <w:szCs w:val="30"/>
        </w:rPr>
        <w:t>系统插件调整完善；</w:t>
      </w:r>
    </w:p>
    <w:p>
      <w:pPr>
        <w:pStyle w:val="15"/>
        <w:numPr>
          <w:ilvl w:val="0"/>
          <w:numId w:val="5"/>
        </w:numPr>
        <w:ind w:left="0" w:firstLine="567" w:firstLineChars="0"/>
        <w:rPr>
          <w:rFonts w:ascii="宋体" w:hAnsi="宋体"/>
          <w:szCs w:val="30"/>
        </w:rPr>
      </w:pPr>
      <w:r>
        <w:rPr>
          <w:rFonts w:hint="eastAsia"/>
          <w:szCs w:val="24"/>
        </w:rPr>
        <w:t>市、县级队增设“重要事项报告”、“公务来访预约表单”功能模块；</w:t>
      </w:r>
    </w:p>
    <w:p>
      <w:pPr>
        <w:pStyle w:val="15"/>
        <w:numPr>
          <w:ilvl w:val="0"/>
          <w:numId w:val="5"/>
        </w:numPr>
        <w:ind w:left="0" w:firstLine="567" w:firstLineChars="0"/>
        <w:rPr>
          <w:rFonts w:ascii="宋体" w:hAnsi="宋体"/>
          <w:szCs w:val="30"/>
        </w:rPr>
      </w:pPr>
      <w:r>
        <w:rPr>
          <w:rFonts w:hint="eastAsia"/>
          <w:szCs w:val="24"/>
        </w:rPr>
        <w:t>总队本级增设总队“公务用车报批”、“总队人员公务外出报批”、“总队用印审批”、“公务来访预约”、“重要事项报告”等功能模块</w:t>
      </w:r>
      <w:r>
        <w:rPr>
          <w:rFonts w:hint="eastAsia"/>
          <w:sz w:val="21"/>
        </w:rPr>
        <w:t>；</w:t>
      </w:r>
    </w:p>
    <w:p>
      <w:pPr>
        <w:pStyle w:val="15"/>
        <w:numPr>
          <w:ilvl w:val="0"/>
          <w:numId w:val="5"/>
        </w:numPr>
        <w:ind w:left="0" w:firstLine="567" w:firstLineChars="0"/>
        <w:rPr>
          <w:rFonts w:ascii="宋体" w:hAnsi="宋体"/>
          <w:szCs w:val="30"/>
        </w:rPr>
      </w:pPr>
      <w:r>
        <w:rPr>
          <w:rFonts w:hint="eastAsia" w:ascii="宋体" w:hAnsi="宋体"/>
          <w:szCs w:val="30"/>
        </w:rPr>
        <w:t>在省、市、县三级OA界面增加一个收文栏目（分行政类、业务类），接收来自流转的文件，收文人（角色）负责在线流转到本级OA流程内，便于后续流程处理；</w:t>
      </w:r>
    </w:p>
    <w:p>
      <w:pPr>
        <w:pStyle w:val="15"/>
        <w:numPr>
          <w:ilvl w:val="0"/>
          <w:numId w:val="5"/>
        </w:numPr>
        <w:ind w:left="0" w:firstLine="567" w:firstLineChars="0"/>
        <w:rPr>
          <w:rFonts w:ascii="宋体" w:hAnsi="宋体"/>
          <w:szCs w:val="30"/>
        </w:rPr>
      </w:pPr>
      <w:r>
        <w:rPr>
          <w:rFonts w:hint="eastAsia" w:ascii="宋体" w:hAnsi="宋体"/>
          <w:szCs w:val="30"/>
        </w:rPr>
        <w:t>市、县队统计资料的类别格式设置为&lt;地区&gt;调查（比如 长沙调查）、调查信息专报、重要信息专报。或者后台中能给自己管理员设置。</w:t>
      </w:r>
    </w:p>
    <w:p>
      <w:pPr>
        <w:pStyle w:val="3"/>
        <w:numPr>
          <w:ilvl w:val="1"/>
          <w:numId w:val="2"/>
        </w:numPr>
        <w:spacing w:before="120" w:after="120" w:line="360" w:lineRule="auto"/>
        <w:rPr>
          <w:rFonts w:ascii="宋体" w:hAnsi="宋体"/>
          <w:sz w:val="28"/>
          <w:szCs w:val="28"/>
        </w:rPr>
      </w:pPr>
      <w:r>
        <w:rPr>
          <w:rFonts w:hint="eastAsia" w:ascii="宋体" w:hAnsi="宋体"/>
          <w:sz w:val="28"/>
          <w:szCs w:val="28"/>
        </w:rPr>
        <w:t>角色梳理</w:t>
      </w:r>
    </w:p>
    <w:p>
      <w:pPr>
        <w:spacing w:line="360" w:lineRule="auto"/>
        <w:ind w:firstLine="480" w:firstLineChars="200"/>
        <w:rPr>
          <w:sz w:val="24"/>
        </w:rPr>
      </w:pPr>
      <w:r>
        <w:rPr>
          <w:rFonts w:hint="eastAsia"/>
          <w:sz w:val="24"/>
        </w:rPr>
        <w:t>市、县队角色需重新分类，实现提升系统管理的便捷性。一个人可以分配多个角色。远程收文人、发文人、核稿部门负责人、核稿人分行政类、业务类两种，与两种类型文件流程配合。具体角色如下表2.3.1所示：</w:t>
      </w:r>
    </w:p>
    <w:tbl>
      <w:tblPr>
        <w:tblStyle w:val="10"/>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b/>
                <w:bCs/>
                <w:sz w:val="24"/>
              </w:rPr>
            </w:pPr>
            <w:r>
              <w:rPr>
                <w:rFonts w:hint="eastAsia"/>
                <w:b/>
                <w:bCs/>
                <w:sz w:val="24"/>
              </w:rPr>
              <w:t>市队角色</w:t>
            </w:r>
          </w:p>
        </w:tc>
        <w:tc>
          <w:tcPr>
            <w:tcW w:w="4261" w:type="dxa"/>
            <w:vAlign w:val="top"/>
          </w:tcPr>
          <w:p>
            <w:pPr>
              <w:spacing w:line="360" w:lineRule="auto"/>
              <w:rPr>
                <w:b/>
                <w:bCs/>
                <w:sz w:val="24"/>
              </w:rPr>
            </w:pPr>
            <w:r>
              <w:rPr>
                <w:rFonts w:hint="eastAsia"/>
                <w:b/>
                <w:bCs/>
                <w:sz w:val="24"/>
              </w:rPr>
              <w:t>县队角色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spacing w:line="360" w:lineRule="auto"/>
              <w:rPr>
                <w:sz w:val="24"/>
              </w:rPr>
            </w:pPr>
            <w:r>
              <w:rPr>
                <w:rFonts w:hint="eastAsia"/>
                <w:sz w:val="24"/>
              </w:rPr>
              <w:t>市队队领导</w:t>
            </w:r>
          </w:p>
          <w:p>
            <w:pPr>
              <w:spacing w:line="360" w:lineRule="auto"/>
              <w:rPr>
                <w:sz w:val="24"/>
              </w:rPr>
            </w:pPr>
            <w:r>
              <w:rPr>
                <w:rFonts w:hint="eastAsia"/>
                <w:sz w:val="24"/>
              </w:rPr>
              <w:t>市队主要领导</w:t>
            </w:r>
          </w:p>
          <w:p>
            <w:pPr>
              <w:spacing w:line="360" w:lineRule="auto"/>
              <w:rPr>
                <w:sz w:val="24"/>
              </w:rPr>
            </w:pPr>
            <w:r>
              <w:rPr>
                <w:rFonts w:hint="eastAsia"/>
                <w:sz w:val="24"/>
              </w:rPr>
              <w:t>市队分管领导</w:t>
            </w:r>
          </w:p>
          <w:p>
            <w:pPr>
              <w:spacing w:line="360" w:lineRule="auto"/>
              <w:rPr>
                <w:sz w:val="24"/>
              </w:rPr>
            </w:pPr>
            <w:r>
              <w:rPr>
                <w:rFonts w:hint="eastAsia"/>
                <w:sz w:val="24"/>
              </w:rPr>
              <w:t>市队科室负责人</w:t>
            </w:r>
          </w:p>
          <w:p>
            <w:pPr>
              <w:spacing w:line="360" w:lineRule="auto"/>
              <w:rPr>
                <w:sz w:val="24"/>
              </w:rPr>
            </w:pPr>
            <w:r>
              <w:rPr>
                <w:rFonts w:hint="eastAsia"/>
                <w:sz w:val="24"/>
              </w:rPr>
              <w:t>市队办公室主任</w:t>
            </w:r>
          </w:p>
          <w:p>
            <w:pPr>
              <w:spacing w:line="360" w:lineRule="auto"/>
              <w:rPr>
                <w:sz w:val="24"/>
              </w:rPr>
            </w:pPr>
            <w:r>
              <w:rPr>
                <w:rFonts w:hint="eastAsia"/>
                <w:sz w:val="24"/>
              </w:rPr>
              <w:t>市队行政核稿人</w:t>
            </w:r>
          </w:p>
          <w:p>
            <w:pPr>
              <w:spacing w:line="360" w:lineRule="auto"/>
              <w:rPr>
                <w:sz w:val="24"/>
              </w:rPr>
            </w:pPr>
            <w:r>
              <w:rPr>
                <w:rFonts w:hint="eastAsia"/>
                <w:sz w:val="24"/>
              </w:rPr>
              <w:t>市队综合科科长</w:t>
            </w:r>
          </w:p>
          <w:p>
            <w:pPr>
              <w:spacing w:line="360" w:lineRule="auto"/>
              <w:rPr>
                <w:sz w:val="24"/>
              </w:rPr>
            </w:pPr>
            <w:r>
              <w:rPr>
                <w:rFonts w:hint="eastAsia"/>
                <w:sz w:val="24"/>
              </w:rPr>
              <w:t>市队业务核稿人</w:t>
            </w:r>
          </w:p>
          <w:p>
            <w:pPr>
              <w:spacing w:line="360" w:lineRule="auto"/>
              <w:rPr>
                <w:sz w:val="24"/>
              </w:rPr>
            </w:pPr>
            <w:r>
              <w:rPr>
                <w:rFonts w:hint="eastAsia"/>
                <w:sz w:val="24"/>
              </w:rPr>
              <w:t>市队远程收文人</w:t>
            </w:r>
          </w:p>
          <w:p>
            <w:pPr>
              <w:spacing w:line="360" w:lineRule="auto"/>
              <w:rPr>
                <w:sz w:val="24"/>
              </w:rPr>
            </w:pPr>
            <w:r>
              <w:rPr>
                <w:rFonts w:hint="eastAsia"/>
                <w:sz w:val="24"/>
              </w:rPr>
              <w:t>市队远程发文人</w:t>
            </w:r>
          </w:p>
          <w:p>
            <w:pPr>
              <w:spacing w:line="360" w:lineRule="auto"/>
              <w:rPr>
                <w:sz w:val="24"/>
              </w:rPr>
            </w:pPr>
            <w:r>
              <w:rPr>
                <w:rFonts w:hint="eastAsia"/>
                <w:sz w:val="24"/>
              </w:rPr>
              <w:t>市队内部分发人</w:t>
            </w:r>
          </w:p>
          <w:p>
            <w:pPr>
              <w:spacing w:line="360" w:lineRule="auto"/>
              <w:rPr>
                <w:sz w:val="24"/>
              </w:rPr>
            </w:pPr>
            <w:r>
              <w:rPr>
                <w:rFonts w:hint="eastAsia"/>
                <w:sz w:val="24"/>
              </w:rPr>
              <w:t>市队全部人员</w:t>
            </w:r>
          </w:p>
        </w:tc>
        <w:tc>
          <w:tcPr>
            <w:tcW w:w="4261" w:type="dxa"/>
            <w:vAlign w:val="top"/>
          </w:tcPr>
          <w:p>
            <w:pPr>
              <w:spacing w:line="360" w:lineRule="auto"/>
              <w:rPr>
                <w:sz w:val="24"/>
              </w:rPr>
            </w:pPr>
            <w:r>
              <w:rPr>
                <w:rFonts w:hint="eastAsia"/>
                <w:sz w:val="24"/>
              </w:rPr>
              <w:t>县队队领导</w:t>
            </w:r>
          </w:p>
          <w:p>
            <w:pPr>
              <w:spacing w:line="360" w:lineRule="auto"/>
              <w:rPr>
                <w:sz w:val="24"/>
              </w:rPr>
            </w:pPr>
            <w:r>
              <w:rPr>
                <w:rFonts w:hint="eastAsia"/>
                <w:sz w:val="24"/>
              </w:rPr>
              <w:t>县队主要领导</w:t>
            </w:r>
          </w:p>
          <w:p>
            <w:pPr>
              <w:spacing w:line="360" w:lineRule="auto"/>
              <w:rPr>
                <w:sz w:val="24"/>
              </w:rPr>
            </w:pPr>
            <w:r>
              <w:rPr>
                <w:rFonts w:hint="eastAsia"/>
                <w:sz w:val="24"/>
              </w:rPr>
              <w:t>县队分管领导</w:t>
            </w:r>
          </w:p>
          <w:p>
            <w:pPr>
              <w:spacing w:line="360" w:lineRule="auto"/>
              <w:rPr>
                <w:sz w:val="24"/>
              </w:rPr>
            </w:pPr>
            <w:r>
              <w:rPr>
                <w:rFonts w:hint="eastAsia"/>
                <w:sz w:val="24"/>
              </w:rPr>
              <w:t>县队股室负责人</w:t>
            </w:r>
          </w:p>
          <w:p>
            <w:pPr>
              <w:spacing w:line="360" w:lineRule="auto"/>
              <w:rPr>
                <w:sz w:val="24"/>
              </w:rPr>
            </w:pPr>
            <w:r>
              <w:rPr>
                <w:rFonts w:hint="eastAsia"/>
                <w:sz w:val="24"/>
              </w:rPr>
              <w:t>县队办公室主任</w:t>
            </w:r>
          </w:p>
          <w:p>
            <w:pPr>
              <w:spacing w:line="360" w:lineRule="auto"/>
              <w:rPr>
                <w:sz w:val="24"/>
              </w:rPr>
            </w:pPr>
            <w:r>
              <w:rPr>
                <w:rFonts w:hint="eastAsia"/>
                <w:sz w:val="24"/>
              </w:rPr>
              <w:t>县队行政核稿人</w:t>
            </w:r>
          </w:p>
          <w:p>
            <w:pPr>
              <w:spacing w:line="360" w:lineRule="auto"/>
              <w:rPr>
                <w:sz w:val="24"/>
              </w:rPr>
            </w:pPr>
            <w:r>
              <w:rPr>
                <w:rFonts w:hint="eastAsia"/>
                <w:sz w:val="24"/>
              </w:rPr>
              <w:t>县队综合股负责人</w:t>
            </w:r>
          </w:p>
          <w:p>
            <w:pPr>
              <w:spacing w:line="360" w:lineRule="auto"/>
              <w:rPr>
                <w:sz w:val="24"/>
              </w:rPr>
            </w:pPr>
            <w:r>
              <w:rPr>
                <w:rFonts w:hint="eastAsia"/>
                <w:sz w:val="24"/>
              </w:rPr>
              <w:t>县队业务核稿人</w:t>
            </w:r>
          </w:p>
          <w:p>
            <w:pPr>
              <w:spacing w:line="360" w:lineRule="auto"/>
              <w:rPr>
                <w:sz w:val="24"/>
              </w:rPr>
            </w:pPr>
            <w:r>
              <w:rPr>
                <w:rFonts w:hint="eastAsia"/>
                <w:sz w:val="24"/>
              </w:rPr>
              <w:t>县队远程收文人</w:t>
            </w:r>
          </w:p>
          <w:p>
            <w:pPr>
              <w:spacing w:line="360" w:lineRule="auto"/>
              <w:rPr>
                <w:sz w:val="24"/>
              </w:rPr>
            </w:pPr>
            <w:r>
              <w:rPr>
                <w:rFonts w:hint="eastAsia"/>
                <w:sz w:val="24"/>
              </w:rPr>
              <w:t>县队远程发文人</w:t>
            </w:r>
          </w:p>
          <w:p>
            <w:pPr>
              <w:spacing w:line="360" w:lineRule="auto"/>
              <w:rPr>
                <w:sz w:val="24"/>
              </w:rPr>
            </w:pPr>
            <w:r>
              <w:rPr>
                <w:rFonts w:hint="eastAsia"/>
                <w:sz w:val="24"/>
              </w:rPr>
              <w:t>县队内部分发人</w:t>
            </w:r>
          </w:p>
          <w:p>
            <w:pPr>
              <w:spacing w:line="360" w:lineRule="auto"/>
              <w:rPr>
                <w:sz w:val="24"/>
              </w:rPr>
            </w:pPr>
            <w:r>
              <w:rPr>
                <w:rFonts w:hint="eastAsia"/>
                <w:sz w:val="24"/>
              </w:rPr>
              <w:t>县队全部人员</w:t>
            </w:r>
          </w:p>
        </w:tc>
      </w:tr>
    </w:tbl>
    <w:p>
      <w:pPr>
        <w:spacing w:line="360" w:lineRule="auto"/>
        <w:jc w:val="center"/>
        <w:rPr>
          <w:sz w:val="24"/>
        </w:rPr>
      </w:pPr>
      <w:r>
        <w:rPr>
          <w:rFonts w:hint="eastAsia"/>
          <w:sz w:val="24"/>
        </w:rPr>
        <w:t>表2.3.1</w:t>
      </w:r>
    </w:p>
    <w:p>
      <w:pPr>
        <w:pStyle w:val="3"/>
        <w:numPr>
          <w:ilvl w:val="1"/>
          <w:numId w:val="2"/>
        </w:numPr>
        <w:spacing w:before="120" w:after="120" w:line="360" w:lineRule="auto"/>
        <w:rPr>
          <w:rFonts w:ascii="宋体" w:hAnsi="宋体"/>
          <w:sz w:val="28"/>
          <w:szCs w:val="28"/>
        </w:rPr>
      </w:pPr>
      <w:r>
        <w:rPr>
          <w:rFonts w:hint="eastAsia" w:ascii="宋体" w:hAnsi="宋体"/>
          <w:sz w:val="28"/>
          <w:szCs w:val="28"/>
        </w:rPr>
        <w:t>功能表单梳理统一</w:t>
      </w:r>
    </w:p>
    <w:p>
      <w:pPr>
        <w:spacing w:line="360" w:lineRule="auto"/>
        <w:ind w:firstLine="480" w:firstLineChars="200"/>
        <w:rPr>
          <w:sz w:val="24"/>
        </w:rPr>
      </w:pPr>
      <w:r>
        <w:rPr>
          <w:rFonts w:hint="eastAsia"/>
          <w:sz w:val="24"/>
        </w:rPr>
        <w:t>需要梳理市级和县级（除常德调查队）所有文件类型表单，并进行修改统一。市级文件类型包括：发文、工作信息、工作要事、会议纪要、内部报告、内部公函、内部请示和统计资料。县级文件类型包括：发文、工作要事、会议纪要、内部报告、内部公函、内部请示、政务信息和调查资料。其中总队本级的“发文”、“统计资料”、“工作信息”、“会议纪要”、“工作要事”五类文件类型需要在表单底部新增“发送选项（多选划√）：[ ]内部信息网 [ ]外部信息网 [ ]OA传阅 [ ]市级队 [ ]县级队”内容。</w:t>
      </w:r>
    </w:p>
    <w:p>
      <w:pPr>
        <w:pStyle w:val="3"/>
        <w:numPr>
          <w:ilvl w:val="1"/>
          <w:numId w:val="2"/>
        </w:numPr>
        <w:spacing w:before="120" w:after="120" w:line="360" w:lineRule="auto"/>
        <w:rPr>
          <w:rFonts w:ascii="宋体" w:hAnsi="宋体"/>
          <w:sz w:val="28"/>
          <w:szCs w:val="28"/>
        </w:rPr>
      </w:pPr>
      <w:r>
        <w:rPr>
          <w:rFonts w:hint="eastAsia" w:ascii="宋体" w:hAnsi="宋体"/>
          <w:sz w:val="28"/>
          <w:szCs w:val="28"/>
        </w:rPr>
        <w:t>功能表单梳理统一</w:t>
      </w:r>
    </w:p>
    <w:p>
      <w:pPr>
        <w:spacing w:line="360" w:lineRule="auto"/>
        <w:ind w:firstLine="480" w:firstLineChars="200"/>
        <w:rPr>
          <w:sz w:val="24"/>
        </w:rPr>
      </w:pPr>
      <w:r>
        <w:rPr>
          <w:rFonts w:hint="eastAsia"/>
          <w:sz w:val="24"/>
        </w:rPr>
        <w:t>需要梳理市级和县级（除常德调查队）所有文件类型的处理流程，并进行修改统一。市级及县级所有文件类型的处理流程要求如下图2.5.1和图2.5.2所示：</w:t>
      </w:r>
    </w:p>
    <w:p>
      <w:pPr>
        <w:spacing w:line="360" w:lineRule="auto"/>
        <w:jc w:val="center"/>
        <w:rPr>
          <w:sz w:val="24"/>
        </w:rPr>
      </w:pPr>
      <w:r>
        <w:rPr>
          <w:rFonts w:ascii="Times New Roman" w:hAnsi="Times New Roman" w:eastAsia="宋体" w:cs="Times New Roman"/>
          <w:kern w:val="2"/>
          <w:sz w:val="24"/>
          <w:szCs w:val="24"/>
          <w:lang w:val="en-US" w:eastAsia="zh-CN" w:bidi="ar-SA"/>
        </w:rPr>
        <w:pict>
          <v:shape id="图片 2" o:spid="_x0000_s1026" type="#_x0000_t75" style="height:261pt;width:415.2pt;rotation:0f;" o:ole="f" fillcolor="#FFFFFF" filled="f" o:preferrelative="t" stroked="f" coordorigin="0,0" coordsize="21600,21600">
            <v:fill on="f" color2="#FFFFFF" focus="0%"/>
            <v:imagedata gain="65536f" blacklevel="0f" gamma="0" o:title="市级队统一流程" r:id="rId5"/>
            <o:lock v:ext="edit" position="f" selection="f" grouping="f" rotation="f" cropping="f" text="f" aspectratio="t"/>
            <w10:wrap type="none"/>
            <w10:anchorlock/>
          </v:shape>
        </w:pict>
      </w:r>
    </w:p>
    <w:p>
      <w:pPr>
        <w:spacing w:line="360" w:lineRule="auto"/>
        <w:jc w:val="center"/>
        <w:rPr>
          <w:sz w:val="24"/>
        </w:rPr>
      </w:pPr>
      <w:r>
        <w:rPr>
          <w:rFonts w:hint="eastAsia"/>
          <w:sz w:val="24"/>
        </w:rPr>
        <w:t>图2.5.1</w:t>
      </w:r>
    </w:p>
    <w:p>
      <w:pPr>
        <w:spacing w:line="360" w:lineRule="auto"/>
        <w:jc w:val="center"/>
        <w:rPr>
          <w:sz w:val="24"/>
        </w:rPr>
      </w:pPr>
      <w:r>
        <w:rPr>
          <w:rFonts w:ascii="Times New Roman" w:hAnsi="Times New Roman" w:eastAsia="宋体" w:cs="Times New Roman"/>
          <w:kern w:val="2"/>
          <w:sz w:val="24"/>
          <w:szCs w:val="24"/>
          <w:lang w:val="en-US" w:eastAsia="zh-CN" w:bidi="ar-SA"/>
        </w:rPr>
        <w:pict>
          <v:shape id="图片 3" o:spid="_x0000_s1027" type="#_x0000_t75" style="height:295.8pt;width:414.6pt;rotation:0f;" o:ole="f" fillcolor="#FFFFFF" filled="f" o:preferrelative="t" stroked="f" coordorigin="0,0" coordsize="21600,21600">
            <v:fill on="f" color2="#FFFFFF" focus="0%"/>
            <v:imagedata gain="65536f" blacklevel="0f" gamma="0" o:title="县级队统一流程" r:id="rId6"/>
            <o:lock v:ext="edit" position="f" selection="f" grouping="f" rotation="f" cropping="f" text="f" aspectratio="t"/>
            <w10:wrap type="none"/>
            <w10:anchorlock/>
          </v:shape>
        </w:pict>
      </w:r>
    </w:p>
    <w:p>
      <w:pPr>
        <w:spacing w:line="360" w:lineRule="auto"/>
        <w:jc w:val="center"/>
        <w:rPr>
          <w:sz w:val="24"/>
        </w:rPr>
      </w:pPr>
      <w:r>
        <w:rPr>
          <w:rFonts w:hint="eastAsia"/>
          <w:sz w:val="24"/>
        </w:rPr>
        <w:t>图2.5.2</w:t>
      </w:r>
    </w:p>
    <w:p>
      <w:pPr>
        <w:spacing w:line="360" w:lineRule="auto"/>
        <w:rPr>
          <w:sz w:val="24"/>
        </w:rPr>
      </w:pPr>
      <w:r>
        <w:rPr>
          <w:rFonts w:hint="eastAsia"/>
          <w:sz w:val="24"/>
        </w:rPr>
        <w:t>整个流程以核稿人为中心，负责掌握流转方向，远程收文、发文、核稿都分行政、业务两类。办公室、综合科分别负责行政和业务文件资料工作。</w:t>
      </w:r>
    </w:p>
    <w:p>
      <w:pPr>
        <w:pStyle w:val="2"/>
        <w:numPr>
          <w:ilvl w:val="0"/>
          <w:numId w:val="2"/>
        </w:numPr>
        <w:spacing w:before="120" w:after="120" w:line="360" w:lineRule="auto"/>
        <w:rPr>
          <w:rFonts w:ascii="黑体" w:hAnsi="黑体" w:eastAsia="黑体"/>
          <w:sz w:val="36"/>
        </w:rPr>
      </w:pPr>
      <w:r>
        <w:rPr>
          <w:rFonts w:hint="eastAsia" w:ascii="黑体" w:hAnsi="黑体" w:eastAsia="黑体"/>
          <w:sz w:val="36"/>
        </w:rPr>
        <w:t>系统部署要求</w:t>
      </w:r>
    </w:p>
    <w:p>
      <w:pPr>
        <w:spacing w:line="580" w:lineRule="exact"/>
        <w:rPr>
          <w:rFonts w:ascii="宋体" w:hAnsi="宋体"/>
          <w:sz w:val="24"/>
          <w:szCs w:val="30"/>
        </w:rPr>
      </w:pPr>
      <w:r>
        <w:rPr>
          <w:rFonts w:hint="eastAsia" w:ascii="宋体" w:hAnsi="宋体"/>
          <w:sz w:val="24"/>
          <w:szCs w:val="30"/>
        </w:rPr>
        <w:t xml:space="preserve">    通过对现有系统架构的迁移升级，达到如下目标：</w:t>
      </w:r>
    </w:p>
    <w:p>
      <w:pPr>
        <w:pStyle w:val="15"/>
        <w:numPr>
          <w:ilvl w:val="0"/>
          <w:numId w:val="5"/>
        </w:numPr>
        <w:ind w:firstLine="147" w:firstLineChars="0"/>
        <w:rPr>
          <w:rFonts w:ascii="宋体" w:hAnsi="宋体"/>
          <w:szCs w:val="30"/>
        </w:rPr>
      </w:pPr>
      <w:r>
        <w:rPr>
          <w:rFonts w:hint="eastAsia" w:ascii="宋体" w:hAnsi="宋体"/>
          <w:szCs w:val="30"/>
        </w:rPr>
        <w:t>省级本地化部署，构建各级相对独立和集中管理的层级结构，满足省、市、县三级应用要求；</w:t>
      </w:r>
    </w:p>
    <w:p>
      <w:pPr>
        <w:pStyle w:val="15"/>
        <w:numPr>
          <w:ilvl w:val="0"/>
          <w:numId w:val="5"/>
        </w:numPr>
        <w:ind w:left="0" w:firstLine="567" w:firstLineChars="0"/>
        <w:rPr>
          <w:rFonts w:ascii="宋体" w:hAnsi="宋体"/>
          <w:szCs w:val="30"/>
        </w:rPr>
      </w:pPr>
      <w:r>
        <w:rPr>
          <w:rFonts w:hint="eastAsia" w:ascii="宋体" w:hAnsi="宋体"/>
          <w:szCs w:val="30"/>
        </w:rPr>
        <w:t>实现各级在用户、角色权限、流程类别、功能面板等的设置和独立管理；</w:t>
      </w:r>
    </w:p>
    <w:p>
      <w:pPr>
        <w:pStyle w:val="15"/>
        <w:numPr>
          <w:ilvl w:val="0"/>
          <w:numId w:val="5"/>
        </w:numPr>
        <w:ind w:left="0" w:firstLine="567" w:firstLineChars="0"/>
        <w:rPr>
          <w:rFonts w:ascii="宋体" w:hAnsi="宋体"/>
          <w:szCs w:val="30"/>
        </w:rPr>
      </w:pPr>
      <w:r>
        <w:rPr>
          <w:rFonts w:hint="eastAsia" w:ascii="宋体" w:hAnsi="宋体"/>
          <w:szCs w:val="30"/>
        </w:rPr>
        <w:t>实现上级单位在角色权限、流程类别、功能面板等的赋予权限，未经上级授权，下级单位不能修改、删除上级单位赋予的各种应用；</w:t>
      </w:r>
    </w:p>
    <w:p>
      <w:pPr>
        <w:pStyle w:val="15"/>
        <w:numPr>
          <w:ilvl w:val="0"/>
          <w:numId w:val="5"/>
        </w:numPr>
        <w:ind w:left="0" w:firstLine="567" w:firstLineChars="0"/>
        <w:rPr>
          <w:rFonts w:ascii="宋体" w:hAnsi="宋体"/>
          <w:szCs w:val="30"/>
        </w:rPr>
      </w:pPr>
      <w:r>
        <w:rPr>
          <w:rFonts w:hint="eastAsia" w:ascii="宋体" w:hAnsi="宋体"/>
          <w:szCs w:val="30"/>
        </w:rPr>
        <w:t>实现用户根据不同大类（类别）构建数据表的机制；</w:t>
      </w:r>
    </w:p>
    <w:p>
      <w:pPr>
        <w:pStyle w:val="15"/>
        <w:numPr>
          <w:ilvl w:val="0"/>
          <w:numId w:val="5"/>
        </w:numPr>
        <w:ind w:left="0" w:firstLine="567" w:firstLineChars="0"/>
        <w:rPr>
          <w:rFonts w:ascii="宋体" w:hAnsi="宋体"/>
          <w:szCs w:val="30"/>
        </w:rPr>
      </w:pPr>
      <w:r>
        <w:rPr>
          <w:rFonts w:hint="eastAsia" w:ascii="宋体" w:hAnsi="宋体"/>
          <w:szCs w:val="30"/>
        </w:rPr>
        <w:t>实现业务类流程的跨层级流转；</w:t>
      </w:r>
    </w:p>
    <w:p>
      <w:pPr>
        <w:pStyle w:val="15"/>
        <w:numPr>
          <w:ilvl w:val="0"/>
          <w:numId w:val="5"/>
        </w:numPr>
        <w:ind w:left="0" w:firstLine="567" w:firstLineChars="0"/>
        <w:rPr>
          <w:rFonts w:ascii="宋体" w:hAnsi="宋体"/>
          <w:szCs w:val="30"/>
        </w:rPr>
      </w:pPr>
      <w:r>
        <w:rPr>
          <w:rFonts w:hint="eastAsia" w:ascii="宋体" w:hAnsi="宋体"/>
          <w:szCs w:val="30"/>
        </w:rPr>
        <w:t>用户管理结构升级，可以分级建设湖南省队总管理员、市队管理员、县队管理员；总管理员可以建立各个市县二级级单位管理员，每一级管理员可以独立建设本单位组织机构、用户权限与功能设定。</w:t>
      </w:r>
    </w:p>
    <w:p>
      <w:pPr>
        <w:pStyle w:val="15"/>
        <w:numPr>
          <w:ilvl w:val="0"/>
          <w:numId w:val="5"/>
        </w:numPr>
        <w:ind w:firstLine="147" w:firstLineChars="0"/>
        <w:rPr>
          <w:rFonts w:ascii="宋体" w:hAnsi="宋体"/>
          <w:szCs w:val="30"/>
        </w:rPr>
      </w:pPr>
      <w:r>
        <w:rPr>
          <w:rFonts w:hint="eastAsia" w:ascii="宋体" w:hAnsi="宋体"/>
          <w:szCs w:val="30"/>
        </w:rPr>
        <w:t>各级管理员之间可以向下切换，满足上级管理下级的管理要求。</w:t>
      </w:r>
    </w:p>
    <w:p>
      <w:pPr>
        <w:spacing w:line="580" w:lineRule="exact"/>
        <w:ind w:firstLine="480" w:firstLineChars="200"/>
        <w:rPr>
          <w:rFonts w:ascii="宋体" w:hAnsi="宋体"/>
          <w:sz w:val="24"/>
          <w:szCs w:val="30"/>
        </w:rPr>
      </w:pPr>
      <w:r>
        <w:rPr>
          <w:rFonts w:hint="eastAsia" w:ascii="宋体" w:hAnsi="宋体"/>
          <w:sz w:val="24"/>
          <w:szCs w:val="30"/>
        </w:rPr>
        <w:t>最终实现湖南调查总队OA系统的迁移升级，在一套系统中可以建设多套组织的层级机构，形成逻辑隔离的独立应用区域，从而为湖南省、市、县级调查队单位提供用户、权限管理和系统应用搭建基础。</w:t>
      </w:r>
    </w:p>
    <w:p>
      <w:pPr>
        <w:pStyle w:val="2"/>
        <w:numPr>
          <w:ilvl w:val="0"/>
          <w:numId w:val="2"/>
        </w:numPr>
        <w:spacing w:before="120" w:after="120" w:line="360" w:lineRule="auto"/>
        <w:rPr>
          <w:rFonts w:ascii="黑体" w:hAnsi="黑体" w:eastAsia="黑体"/>
          <w:sz w:val="36"/>
        </w:rPr>
      </w:pPr>
      <w:bookmarkStart w:id="14" w:name="_Toc222018477"/>
      <w:bookmarkStart w:id="15" w:name="_Toc227046321"/>
      <w:bookmarkStart w:id="16" w:name="_Toc230056504"/>
      <w:bookmarkStart w:id="17" w:name="_Toc395284184"/>
      <w:bookmarkStart w:id="18" w:name="_Toc420912153"/>
      <w:bookmarkStart w:id="19" w:name="_Toc350715632"/>
      <w:r>
        <w:rPr>
          <w:rFonts w:hint="eastAsia" w:ascii="黑体" w:hAnsi="黑体" w:eastAsia="黑体"/>
          <w:sz w:val="36"/>
        </w:rPr>
        <w:t>系统性能与技术要求</w:t>
      </w:r>
      <w:bookmarkEnd w:id="14"/>
      <w:bookmarkEnd w:id="15"/>
      <w:bookmarkEnd w:id="16"/>
      <w:bookmarkEnd w:id="17"/>
      <w:bookmarkEnd w:id="18"/>
    </w:p>
    <w:p>
      <w:pPr>
        <w:pStyle w:val="3"/>
        <w:numPr>
          <w:ilvl w:val="1"/>
          <w:numId w:val="2"/>
        </w:numPr>
        <w:spacing w:before="120" w:after="120" w:line="360" w:lineRule="auto"/>
      </w:pPr>
      <w:bookmarkStart w:id="20" w:name="_Toc420912154"/>
      <w:r>
        <w:rPr>
          <w:rFonts w:hint="eastAsia"/>
        </w:rPr>
        <w:t>应用性要求</w:t>
      </w:r>
      <w:bookmarkEnd w:id="20"/>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支持开放的体系结构，支持主流厂商的分布式数据库、</w:t>
      </w:r>
      <w:r>
        <w:rPr>
          <w:rFonts w:ascii="宋体" w:hAnsi="宋体"/>
          <w:sz w:val="24"/>
          <w:szCs w:val="30"/>
        </w:rPr>
        <w:t>传统</w:t>
      </w:r>
      <w:r>
        <w:rPr>
          <w:rFonts w:hint="eastAsia" w:ascii="宋体" w:hAnsi="宋体"/>
          <w:sz w:val="24"/>
          <w:szCs w:val="30"/>
        </w:rPr>
        <w:t>数据库、中间件、服务器及linux操作系统平台，支持跨平台运行。</w:t>
      </w:r>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采用</w:t>
      </w:r>
      <w:r>
        <w:rPr>
          <w:rFonts w:ascii="宋体" w:hAnsi="宋体"/>
          <w:sz w:val="24"/>
          <w:szCs w:val="30"/>
        </w:rPr>
        <w:t>J2EE</w:t>
      </w:r>
      <w:r>
        <w:rPr>
          <w:rFonts w:hint="eastAsia" w:ascii="宋体" w:hAnsi="宋体"/>
          <w:sz w:val="24"/>
          <w:szCs w:val="30"/>
        </w:rPr>
        <w:t>的平台架构，支持</w:t>
      </w:r>
      <w:r>
        <w:rPr>
          <w:rFonts w:ascii="宋体" w:hAnsi="宋体"/>
          <w:sz w:val="24"/>
          <w:szCs w:val="30"/>
        </w:rPr>
        <w:t>3</w:t>
      </w:r>
      <w:r>
        <w:rPr>
          <w:rFonts w:hint="eastAsia" w:ascii="宋体" w:hAnsi="宋体"/>
          <w:sz w:val="24"/>
          <w:szCs w:val="30"/>
        </w:rPr>
        <w:t>层体系结构，采用组件化、平台化和模块化设计。支持标准的组件技术（如：</w:t>
      </w:r>
      <w:r>
        <w:rPr>
          <w:rFonts w:ascii="宋体" w:hAnsi="宋体"/>
          <w:sz w:val="24"/>
          <w:szCs w:val="30"/>
        </w:rPr>
        <w:t>ActiveX</w:t>
      </w:r>
      <w:r>
        <w:rPr>
          <w:rFonts w:hint="eastAsia" w:ascii="宋体" w:hAnsi="宋体"/>
          <w:sz w:val="24"/>
          <w:szCs w:val="30"/>
        </w:rPr>
        <w:t>、</w:t>
      </w:r>
      <w:r>
        <w:rPr>
          <w:rFonts w:ascii="宋体" w:hAnsi="宋体"/>
          <w:sz w:val="24"/>
          <w:szCs w:val="30"/>
        </w:rPr>
        <w:t>DCOM</w:t>
      </w:r>
      <w:r>
        <w:rPr>
          <w:rFonts w:hint="eastAsia" w:ascii="宋体" w:hAnsi="宋体"/>
          <w:sz w:val="24"/>
          <w:szCs w:val="30"/>
        </w:rPr>
        <w:t>、</w:t>
      </w:r>
      <w:r>
        <w:rPr>
          <w:rFonts w:ascii="宋体" w:hAnsi="宋体"/>
          <w:sz w:val="24"/>
          <w:szCs w:val="30"/>
        </w:rPr>
        <w:t>CORBA</w:t>
      </w:r>
      <w:r>
        <w:rPr>
          <w:rFonts w:hint="eastAsia" w:ascii="宋体" w:hAnsi="宋体"/>
          <w:sz w:val="24"/>
          <w:szCs w:val="30"/>
        </w:rPr>
        <w:t>等）。</w:t>
      </w:r>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使用符合业界通用标准的工作流引擎完成本系统的开发，并具有二次开发能力，支持可视化流程的定制与修改，支持并行处理流程，支持各种公文模板的定制与修改。</w:t>
      </w:r>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数据格式遵循统计系统综合办公系统总体标准要求，并经系统建设和运维单位审核，使用数据字典，提供充分的数据灵活性可实现对其它数据库和文件系统的访问与数据交换，提供基于</w:t>
      </w:r>
      <w:r>
        <w:rPr>
          <w:rFonts w:ascii="宋体" w:hAnsi="宋体"/>
          <w:sz w:val="24"/>
          <w:szCs w:val="30"/>
        </w:rPr>
        <w:t>XML</w:t>
      </w:r>
      <w:r>
        <w:rPr>
          <w:rFonts w:hint="eastAsia" w:ascii="宋体" w:hAnsi="宋体"/>
          <w:sz w:val="24"/>
          <w:szCs w:val="30"/>
        </w:rPr>
        <w:t>的数据交换接口。采用</w:t>
      </w:r>
      <w:r>
        <w:rPr>
          <w:rFonts w:ascii="宋体" w:hAnsi="宋体"/>
          <w:sz w:val="24"/>
          <w:szCs w:val="30"/>
        </w:rPr>
        <w:t>JDBC</w:t>
      </w:r>
      <w:r>
        <w:rPr>
          <w:rFonts w:hint="eastAsia" w:ascii="宋体" w:hAnsi="宋体"/>
          <w:sz w:val="24"/>
          <w:szCs w:val="30"/>
        </w:rPr>
        <w:t>连接、</w:t>
      </w:r>
      <w:r>
        <w:rPr>
          <w:rFonts w:ascii="宋体" w:hAnsi="宋体"/>
          <w:sz w:val="24"/>
          <w:szCs w:val="30"/>
        </w:rPr>
        <w:t>ODBC</w:t>
      </w:r>
      <w:r>
        <w:rPr>
          <w:rFonts w:hint="eastAsia" w:ascii="宋体" w:hAnsi="宋体"/>
          <w:sz w:val="24"/>
          <w:szCs w:val="30"/>
        </w:rPr>
        <w:t>连接、连接池等技术，实现自身及其他数据源与第三方厂家的工具及应用的集成。</w:t>
      </w:r>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系统采用</w:t>
      </w:r>
      <w:r>
        <w:rPr>
          <w:rFonts w:ascii="宋体" w:hAnsi="宋体"/>
          <w:sz w:val="24"/>
          <w:szCs w:val="30"/>
        </w:rPr>
        <w:t>B/S</w:t>
      </w:r>
      <w:r>
        <w:rPr>
          <w:rFonts w:hint="eastAsia" w:ascii="宋体" w:hAnsi="宋体"/>
          <w:sz w:val="24"/>
          <w:szCs w:val="30"/>
        </w:rPr>
        <w:t>（浏览器</w:t>
      </w:r>
      <w:r>
        <w:rPr>
          <w:rFonts w:ascii="宋体" w:hAnsi="宋体"/>
          <w:sz w:val="24"/>
          <w:szCs w:val="30"/>
        </w:rPr>
        <w:t>/</w:t>
      </w:r>
      <w:r>
        <w:rPr>
          <w:rFonts w:hint="eastAsia" w:ascii="宋体" w:hAnsi="宋体"/>
          <w:sz w:val="24"/>
          <w:szCs w:val="30"/>
        </w:rPr>
        <w:t>服务器</w:t>
      </w:r>
      <w:r>
        <w:rPr>
          <w:rFonts w:ascii="宋体" w:hAnsi="宋体"/>
          <w:sz w:val="24"/>
          <w:szCs w:val="30"/>
        </w:rPr>
        <w:t>)</w:t>
      </w:r>
      <w:r>
        <w:rPr>
          <w:rFonts w:hint="eastAsia" w:ascii="宋体" w:hAnsi="宋体"/>
          <w:sz w:val="24"/>
          <w:szCs w:val="30"/>
        </w:rPr>
        <w:t>模式，可保证各类常见操作系统客户端的正常使用。</w:t>
      </w:r>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支持当前主流的客户端浏览器，：</w:t>
      </w:r>
      <w:r>
        <w:rPr>
          <w:rFonts w:ascii="宋体" w:hAnsi="宋体"/>
          <w:sz w:val="24"/>
          <w:szCs w:val="30"/>
        </w:rPr>
        <w:t>IE</w:t>
      </w:r>
      <w:r>
        <w:rPr>
          <w:rFonts w:hint="eastAsia" w:ascii="宋体" w:hAnsi="宋体"/>
          <w:sz w:val="24"/>
          <w:szCs w:val="30"/>
        </w:rPr>
        <w:t>、</w:t>
      </w:r>
      <w:r>
        <w:rPr>
          <w:rFonts w:ascii="宋体" w:hAnsi="宋体"/>
          <w:sz w:val="24"/>
          <w:szCs w:val="30"/>
        </w:rPr>
        <w:t xml:space="preserve"> chrome </w:t>
      </w:r>
      <w:r>
        <w:rPr>
          <w:rFonts w:hint="eastAsia" w:ascii="宋体" w:hAnsi="宋体"/>
          <w:sz w:val="24"/>
          <w:szCs w:val="30"/>
        </w:rPr>
        <w:t>、</w:t>
      </w:r>
      <w:r>
        <w:rPr>
          <w:rFonts w:ascii="宋体" w:hAnsi="宋体"/>
          <w:sz w:val="24"/>
          <w:szCs w:val="30"/>
        </w:rPr>
        <w:t>opera</w:t>
      </w:r>
      <w:r>
        <w:rPr>
          <w:rFonts w:hint="eastAsia" w:ascii="宋体" w:hAnsi="宋体"/>
          <w:sz w:val="24"/>
          <w:szCs w:val="30"/>
        </w:rPr>
        <w:t>、火狐等，</w:t>
      </w:r>
      <w:r>
        <w:rPr>
          <w:rFonts w:ascii="宋体" w:hAnsi="宋体"/>
          <w:sz w:val="24"/>
          <w:szCs w:val="30"/>
        </w:rPr>
        <w:t>IE</w:t>
      </w:r>
      <w:r>
        <w:rPr>
          <w:rFonts w:hint="eastAsia" w:ascii="宋体" w:hAnsi="宋体"/>
          <w:sz w:val="24"/>
          <w:szCs w:val="30"/>
        </w:rPr>
        <w:t>支持</w:t>
      </w:r>
      <w:r>
        <w:rPr>
          <w:rFonts w:ascii="宋体" w:hAnsi="宋体"/>
          <w:sz w:val="24"/>
          <w:szCs w:val="30"/>
        </w:rPr>
        <w:t>8</w:t>
      </w:r>
      <w:r>
        <w:rPr>
          <w:rFonts w:hint="eastAsia" w:ascii="宋体" w:hAnsi="宋体"/>
          <w:sz w:val="24"/>
          <w:szCs w:val="30"/>
        </w:rPr>
        <w:t>以上所有版本。</w:t>
      </w:r>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 xml:space="preserve">支持MS </w:t>
      </w:r>
      <w:r>
        <w:rPr>
          <w:rFonts w:ascii="宋体" w:hAnsi="宋体"/>
          <w:sz w:val="24"/>
          <w:szCs w:val="30"/>
        </w:rPr>
        <w:t xml:space="preserve">OFFICE </w:t>
      </w:r>
      <w:r>
        <w:rPr>
          <w:rFonts w:hint="eastAsia" w:ascii="宋体" w:hAnsi="宋体"/>
          <w:sz w:val="24"/>
          <w:szCs w:val="30"/>
        </w:rPr>
        <w:t>、</w:t>
      </w:r>
      <w:r>
        <w:rPr>
          <w:rFonts w:ascii="宋体" w:hAnsi="宋体"/>
          <w:sz w:val="24"/>
          <w:szCs w:val="30"/>
        </w:rPr>
        <w:t>WPS</w:t>
      </w:r>
      <w:r>
        <w:rPr>
          <w:rFonts w:hint="eastAsia" w:ascii="宋体" w:hAnsi="宋体"/>
          <w:sz w:val="24"/>
          <w:szCs w:val="30"/>
        </w:rPr>
        <w:t>等。</w:t>
      </w:r>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系统应对数据和应用的安全性作充分考虑，提供较完善的数据加密及访问控制，提供日志跟踪与统计分析功能。</w:t>
      </w:r>
    </w:p>
    <w:p>
      <w:pPr>
        <w:numPr>
          <w:ilvl w:val="0"/>
          <w:numId w:val="6"/>
        </w:numPr>
        <w:tabs>
          <w:tab w:val="left" w:pos="1134"/>
        </w:tabs>
        <w:spacing w:line="360" w:lineRule="auto"/>
        <w:ind w:left="0" w:firstLine="480" w:firstLineChars="200"/>
        <w:rPr>
          <w:rFonts w:ascii="宋体" w:hAnsi="宋体"/>
          <w:sz w:val="24"/>
          <w:szCs w:val="30"/>
        </w:rPr>
      </w:pPr>
      <w:r>
        <w:rPr>
          <w:rFonts w:hint="eastAsia" w:ascii="宋体" w:hAnsi="宋体"/>
          <w:sz w:val="24"/>
          <w:szCs w:val="30"/>
        </w:rPr>
        <w:t>系统建设应包括系统和数据备份策略，并结软硬件环境设计应急恢复机制，最大程度保证系统的连续可用性。</w:t>
      </w:r>
    </w:p>
    <w:p>
      <w:pPr>
        <w:pStyle w:val="3"/>
        <w:numPr>
          <w:ilvl w:val="1"/>
          <w:numId w:val="2"/>
        </w:numPr>
        <w:spacing w:before="120" w:after="120" w:line="360" w:lineRule="auto"/>
      </w:pPr>
      <w:bookmarkStart w:id="21" w:name="_Toc420912155"/>
      <w:r>
        <w:rPr>
          <w:rFonts w:hint="eastAsia"/>
        </w:rPr>
        <w:t>安全要求</w:t>
      </w:r>
      <w:bookmarkEnd w:id="21"/>
    </w:p>
    <w:p>
      <w:pPr>
        <w:spacing w:line="360" w:lineRule="auto"/>
        <w:ind w:firstLine="480" w:firstLineChars="200"/>
        <w:rPr>
          <w:rFonts w:ascii="宋体" w:hAnsi="宋体"/>
          <w:sz w:val="24"/>
          <w:szCs w:val="30"/>
        </w:rPr>
      </w:pPr>
      <w:r>
        <w:rPr>
          <w:rFonts w:hint="eastAsia" w:ascii="宋体" w:hAnsi="宋体"/>
          <w:sz w:val="24"/>
          <w:szCs w:val="30"/>
        </w:rPr>
        <w:t>本系统按照等保三级保护要求，具有细粒度的权限控制，划分各类管理员，进行相应数据结构设计，系统提供的安全日志可详细记录各操作人员使用本系统的情况，便于系统的监督与管理，确保系统安全可靠。</w:t>
      </w:r>
    </w:p>
    <w:p>
      <w:pPr>
        <w:spacing w:line="360" w:lineRule="auto"/>
        <w:ind w:firstLine="480" w:firstLineChars="200"/>
        <w:rPr>
          <w:rFonts w:ascii="宋体" w:hAnsi="宋体"/>
          <w:sz w:val="24"/>
          <w:szCs w:val="30"/>
        </w:rPr>
      </w:pPr>
      <w:r>
        <w:rPr>
          <w:rFonts w:hint="eastAsia" w:ascii="宋体" w:hAnsi="宋体"/>
          <w:sz w:val="24"/>
          <w:szCs w:val="30"/>
        </w:rPr>
        <w:t>由于本系统建设后涉及到用户包括湖南省各级调查队单位的所有用户，安全设计尤为重要，主要从身份鉴别、访问控制、安全审计、通讯完整性、抗抵赖、剩余信息保护、软件容错、数据完整性、数据安全和数据备份恢复等方面进行安全设计。</w:t>
      </w:r>
    </w:p>
    <w:p>
      <w:pPr>
        <w:pStyle w:val="3"/>
        <w:numPr>
          <w:ilvl w:val="1"/>
          <w:numId w:val="2"/>
        </w:numPr>
        <w:spacing w:before="120" w:after="120" w:line="360" w:lineRule="auto"/>
      </w:pPr>
      <w:bookmarkStart w:id="22" w:name="_Toc420912156"/>
      <w:r>
        <w:rPr>
          <w:rFonts w:hint="eastAsia"/>
        </w:rPr>
        <w:t>其他技术要求</w:t>
      </w:r>
      <w:bookmarkEnd w:id="22"/>
    </w:p>
    <w:p>
      <w:pPr>
        <w:numPr>
          <w:ilvl w:val="0"/>
          <w:numId w:val="7"/>
        </w:numPr>
        <w:spacing w:line="360" w:lineRule="auto"/>
        <w:rPr>
          <w:rFonts w:ascii="宋体" w:hAnsi="宋体"/>
          <w:sz w:val="24"/>
          <w:szCs w:val="30"/>
        </w:rPr>
      </w:pPr>
      <w:r>
        <w:rPr>
          <w:rFonts w:hint="eastAsia" w:ascii="宋体" w:hAnsi="宋体"/>
          <w:sz w:val="24"/>
          <w:szCs w:val="30"/>
        </w:rPr>
        <w:t>可用性：</w:t>
      </w:r>
    </w:p>
    <w:p>
      <w:pPr>
        <w:spacing w:line="360" w:lineRule="auto"/>
        <w:ind w:firstLine="480" w:firstLineChars="200"/>
        <w:rPr>
          <w:rFonts w:ascii="宋体" w:hAnsi="宋体"/>
          <w:sz w:val="24"/>
          <w:szCs w:val="30"/>
        </w:rPr>
      </w:pPr>
      <w:r>
        <w:rPr>
          <w:rFonts w:hint="eastAsia" w:ascii="宋体" w:hAnsi="宋体"/>
          <w:sz w:val="24"/>
          <w:szCs w:val="30"/>
        </w:rPr>
        <w:t>系统平均年故障时间应控制在</w:t>
      </w:r>
      <w:r>
        <w:rPr>
          <w:rFonts w:ascii="宋体" w:hAnsi="宋体"/>
          <w:sz w:val="24"/>
          <w:szCs w:val="30"/>
        </w:rPr>
        <w:t>2</w:t>
      </w:r>
      <w:r>
        <w:rPr>
          <w:rFonts w:hint="eastAsia" w:ascii="宋体" w:hAnsi="宋体"/>
          <w:sz w:val="24"/>
          <w:szCs w:val="30"/>
        </w:rPr>
        <w:t>小时以内，即可用性达到</w:t>
      </w:r>
      <w:r>
        <w:rPr>
          <w:rFonts w:ascii="宋体" w:hAnsi="宋体"/>
          <w:sz w:val="24"/>
          <w:szCs w:val="30"/>
        </w:rPr>
        <w:t>99.99%</w:t>
      </w:r>
      <w:r>
        <w:rPr>
          <w:rFonts w:hint="eastAsia" w:ascii="宋体" w:hAnsi="宋体"/>
          <w:sz w:val="24"/>
          <w:szCs w:val="30"/>
        </w:rPr>
        <w:t>。</w:t>
      </w:r>
    </w:p>
    <w:p>
      <w:pPr>
        <w:numPr>
          <w:ilvl w:val="0"/>
          <w:numId w:val="7"/>
        </w:numPr>
        <w:spacing w:line="360" w:lineRule="auto"/>
        <w:rPr>
          <w:rFonts w:ascii="宋体" w:hAnsi="宋体"/>
          <w:sz w:val="24"/>
          <w:szCs w:val="30"/>
        </w:rPr>
      </w:pPr>
      <w:r>
        <w:rPr>
          <w:rFonts w:hint="eastAsia" w:ascii="宋体" w:hAnsi="宋体"/>
          <w:sz w:val="24"/>
          <w:szCs w:val="30"/>
        </w:rPr>
        <w:t>稳定性：</w:t>
      </w:r>
    </w:p>
    <w:p>
      <w:pPr>
        <w:spacing w:line="360" w:lineRule="auto"/>
        <w:ind w:firstLine="480" w:firstLineChars="200"/>
        <w:rPr>
          <w:rFonts w:ascii="宋体" w:hAnsi="宋体"/>
          <w:sz w:val="24"/>
          <w:szCs w:val="30"/>
        </w:rPr>
      </w:pPr>
      <w:r>
        <w:rPr>
          <w:rFonts w:hint="eastAsia" w:ascii="宋体" w:hAnsi="宋体"/>
          <w:sz w:val="24"/>
          <w:szCs w:val="30"/>
        </w:rPr>
        <w:t>各业务系统对用户的操作顺序、输入的数据进行正确性检查，并以显著方式提示错误信息。</w:t>
      </w:r>
    </w:p>
    <w:p>
      <w:pPr>
        <w:spacing w:line="360" w:lineRule="auto"/>
        <w:ind w:firstLine="480" w:firstLineChars="200"/>
        <w:rPr>
          <w:rFonts w:ascii="宋体" w:hAnsi="宋体"/>
          <w:sz w:val="24"/>
          <w:szCs w:val="30"/>
        </w:rPr>
      </w:pPr>
      <w:r>
        <w:rPr>
          <w:rFonts w:hint="eastAsia" w:ascii="宋体" w:hAnsi="宋体"/>
          <w:sz w:val="24"/>
          <w:szCs w:val="30"/>
        </w:rPr>
        <w:t>系统需有出错处理机制，当系统运行过程中发生错误时，系统将明确提示错误信息并指导用户按照系统错误处理手册进行处理。</w:t>
      </w:r>
    </w:p>
    <w:p>
      <w:pPr>
        <w:spacing w:line="360" w:lineRule="auto"/>
        <w:ind w:firstLine="480" w:firstLineChars="200"/>
        <w:rPr>
          <w:rFonts w:ascii="宋体" w:hAnsi="宋体"/>
          <w:sz w:val="24"/>
          <w:szCs w:val="30"/>
        </w:rPr>
      </w:pPr>
      <w:r>
        <w:rPr>
          <w:rFonts w:hint="eastAsia" w:ascii="宋体" w:hAnsi="宋体"/>
          <w:sz w:val="24"/>
          <w:szCs w:val="30"/>
        </w:rPr>
        <w:t>系统应提供运行监控和故障恢复机制，建立系统运行日志文件，能跟踪系统的所有操作。</w:t>
      </w:r>
    </w:p>
    <w:p>
      <w:pPr>
        <w:spacing w:line="360" w:lineRule="auto"/>
        <w:ind w:firstLine="480" w:firstLineChars="200"/>
        <w:rPr>
          <w:rFonts w:ascii="宋体" w:hAnsi="宋体"/>
          <w:sz w:val="24"/>
          <w:szCs w:val="30"/>
        </w:rPr>
      </w:pPr>
      <w:r>
        <w:rPr>
          <w:rFonts w:hint="eastAsia" w:ascii="宋体" w:hAnsi="宋体"/>
          <w:sz w:val="24"/>
          <w:szCs w:val="30"/>
        </w:rPr>
        <w:t>系统配备软件异常处理措施。</w:t>
      </w:r>
    </w:p>
    <w:p>
      <w:pPr>
        <w:numPr>
          <w:ilvl w:val="0"/>
          <w:numId w:val="7"/>
        </w:numPr>
        <w:spacing w:line="360" w:lineRule="auto"/>
        <w:rPr>
          <w:rFonts w:ascii="宋体" w:hAnsi="宋体"/>
          <w:sz w:val="24"/>
          <w:szCs w:val="30"/>
        </w:rPr>
      </w:pPr>
      <w:r>
        <w:rPr>
          <w:rFonts w:hint="eastAsia" w:ascii="宋体" w:hAnsi="宋体"/>
          <w:sz w:val="24"/>
          <w:szCs w:val="30"/>
        </w:rPr>
        <w:t>易用性：</w:t>
      </w:r>
    </w:p>
    <w:p>
      <w:pPr>
        <w:spacing w:line="360" w:lineRule="auto"/>
        <w:ind w:firstLine="480" w:firstLineChars="200"/>
        <w:rPr>
          <w:rFonts w:ascii="宋体" w:hAnsi="宋体"/>
          <w:sz w:val="24"/>
          <w:szCs w:val="30"/>
        </w:rPr>
      </w:pPr>
      <w:r>
        <w:rPr>
          <w:rFonts w:hint="eastAsia" w:ascii="宋体" w:hAnsi="宋体"/>
          <w:sz w:val="24"/>
          <w:szCs w:val="30"/>
        </w:rPr>
        <w:t>系统操作简单、界面简捷、容易上手，具有良好的</w:t>
      </w:r>
      <w:r>
        <w:rPr>
          <w:rFonts w:ascii="宋体" w:hAnsi="宋体"/>
          <w:sz w:val="24"/>
          <w:szCs w:val="30"/>
        </w:rPr>
        <w:t>UI</w:t>
      </w:r>
      <w:r>
        <w:rPr>
          <w:rFonts w:hint="eastAsia" w:ascii="宋体" w:hAnsi="宋体"/>
          <w:sz w:val="24"/>
          <w:szCs w:val="30"/>
        </w:rPr>
        <w:t>接口、界面操作方式一致、复杂操作有注释、出错处理有人性化提示等。</w:t>
      </w:r>
    </w:p>
    <w:p>
      <w:pPr>
        <w:numPr>
          <w:ilvl w:val="0"/>
          <w:numId w:val="7"/>
        </w:numPr>
        <w:spacing w:line="360" w:lineRule="auto"/>
        <w:rPr>
          <w:rFonts w:ascii="宋体" w:hAnsi="宋体"/>
          <w:sz w:val="24"/>
          <w:szCs w:val="30"/>
        </w:rPr>
      </w:pPr>
      <w:r>
        <w:rPr>
          <w:rFonts w:hint="eastAsia" w:ascii="宋体" w:hAnsi="宋体"/>
          <w:sz w:val="24"/>
          <w:szCs w:val="30"/>
        </w:rPr>
        <w:t>可扩展性</w:t>
      </w:r>
    </w:p>
    <w:p>
      <w:pPr>
        <w:spacing w:line="360" w:lineRule="auto"/>
        <w:ind w:firstLine="480" w:firstLineChars="200"/>
        <w:rPr>
          <w:rFonts w:ascii="宋体" w:hAnsi="宋体"/>
          <w:sz w:val="24"/>
          <w:szCs w:val="30"/>
        </w:rPr>
      </w:pPr>
      <w:r>
        <w:rPr>
          <w:rFonts w:hint="eastAsia" w:ascii="宋体" w:hAnsi="宋体"/>
          <w:sz w:val="24"/>
          <w:szCs w:val="30"/>
        </w:rPr>
        <w:t>系统具有良好的可扩展性、平台开放性，能够满足业务不断变化的需求要求，为系统后期功能的增强提供良好的支持。</w:t>
      </w:r>
    </w:p>
    <w:p>
      <w:pPr>
        <w:numPr>
          <w:ilvl w:val="0"/>
          <w:numId w:val="7"/>
        </w:numPr>
        <w:spacing w:line="360" w:lineRule="auto"/>
        <w:rPr>
          <w:rFonts w:ascii="宋体" w:hAnsi="宋体"/>
          <w:sz w:val="24"/>
          <w:szCs w:val="30"/>
        </w:rPr>
      </w:pPr>
      <w:r>
        <w:rPr>
          <w:rFonts w:hint="eastAsia" w:ascii="宋体" w:hAnsi="宋体"/>
          <w:sz w:val="24"/>
          <w:szCs w:val="30"/>
        </w:rPr>
        <w:t>可移植性</w:t>
      </w:r>
    </w:p>
    <w:p>
      <w:pPr>
        <w:spacing w:line="360" w:lineRule="auto"/>
        <w:ind w:firstLine="480" w:firstLineChars="200"/>
        <w:rPr>
          <w:rFonts w:ascii="宋体" w:hAnsi="宋体"/>
          <w:sz w:val="24"/>
          <w:szCs w:val="30"/>
        </w:rPr>
      </w:pPr>
      <w:r>
        <w:rPr>
          <w:rFonts w:hint="eastAsia" w:ascii="宋体" w:hAnsi="宋体"/>
          <w:sz w:val="24"/>
          <w:szCs w:val="30"/>
        </w:rPr>
        <w:t>系统要有良好的可移植性，支持跨平台部署，支持主流的各类操作系统、中间件系统和数据库系统，支持国产软件。</w:t>
      </w:r>
    </w:p>
    <w:p>
      <w:pPr>
        <w:pStyle w:val="2"/>
        <w:numPr>
          <w:ilvl w:val="0"/>
          <w:numId w:val="2"/>
        </w:numPr>
        <w:spacing w:before="120" w:after="120" w:line="360" w:lineRule="auto"/>
        <w:rPr>
          <w:rFonts w:ascii="黑体" w:hAnsi="黑体" w:eastAsia="黑体"/>
          <w:sz w:val="36"/>
        </w:rPr>
      </w:pPr>
      <w:r>
        <w:rPr>
          <w:rFonts w:hint="eastAsia" w:ascii="黑体" w:hAnsi="黑体" w:eastAsia="黑体"/>
          <w:sz w:val="36"/>
        </w:rPr>
        <w:t>项目实施计划</w:t>
      </w:r>
      <w:bookmarkEnd w:id="19"/>
    </w:p>
    <w:p>
      <w:pPr>
        <w:pStyle w:val="3"/>
        <w:numPr>
          <w:ilvl w:val="1"/>
          <w:numId w:val="2"/>
        </w:numPr>
        <w:spacing w:before="120" w:after="120" w:line="360" w:lineRule="auto"/>
        <w:rPr>
          <w:rFonts w:ascii="宋体" w:hAnsi="宋体"/>
          <w:sz w:val="28"/>
          <w:szCs w:val="28"/>
        </w:rPr>
      </w:pPr>
      <w:bookmarkStart w:id="23" w:name="_Toc350715633"/>
      <w:r>
        <w:rPr>
          <w:rFonts w:hint="eastAsia" w:ascii="宋体" w:hAnsi="宋体"/>
          <w:sz w:val="28"/>
          <w:szCs w:val="28"/>
        </w:rPr>
        <w:t>总体要求</w:t>
      </w:r>
      <w:bookmarkEnd w:id="23"/>
    </w:p>
    <w:p>
      <w:pPr>
        <w:spacing w:line="360" w:lineRule="auto"/>
        <w:ind w:firstLine="480" w:firstLineChars="200"/>
        <w:rPr>
          <w:rFonts w:ascii="宋体" w:hAnsi="宋体"/>
          <w:sz w:val="24"/>
        </w:rPr>
      </w:pPr>
      <w:r>
        <w:rPr>
          <w:rFonts w:hint="eastAsia" w:ascii="宋体" w:hAnsi="宋体"/>
          <w:sz w:val="24"/>
        </w:rPr>
        <w:t>乙方在项目实施中能够做到：</w:t>
      </w:r>
    </w:p>
    <w:p>
      <w:pPr>
        <w:pStyle w:val="15"/>
        <w:numPr>
          <w:ilvl w:val="0"/>
          <w:numId w:val="8"/>
        </w:numPr>
        <w:tabs>
          <w:tab w:val="left" w:pos="709"/>
        </w:tabs>
        <w:ind w:left="0" w:firstLine="283" w:firstLineChars="118"/>
        <w:rPr>
          <w:rFonts w:ascii="宋体" w:hAnsi="宋体"/>
        </w:rPr>
      </w:pPr>
      <w:r>
        <w:rPr>
          <w:rFonts w:hint="eastAsia" w:ascii="宋体" w:hAnsi="宋体"/>
        </w:rPr>
        <w:t>提供有丰富的行业经验和开发技能的项目小组进行整个过程的实施开发工作；</w:t>
      </w:r>
    </w:p>
    <w:p>
      <w:pPr>
        <w:pStyle w:val="15"/>
        <w:numPr>
          <w:ilvl w:val="0"/>
          <w:numId w:val="8"/>
        </w:numPr>
        <w:ind w:left="0" w:firstLine="283" w:firstLineChars="118"/>
        <w:rPr>
          <w:rFonts w:ascii="宋体" w:hAnsi="宋体"/>
        </w:rPr>
      </w:pPr>
      <w:r>
        <w:rPr>
          <w:rFonts w:hint="eastAsia" w:ascii="宋体" w:hAnsi="宋体"/>
        </w:rPr>
        <w:t>项目实施完成后提供可靠的后期维护工作；</w:t>
      </w:r>
    </w:p>
    <w:p>
      <w:pPr>
        <w:pStyle w:val="15"/>
        <w:numPr>
          <w:ilvl w:val="0"/>
          <w:numId w:val="8"/>
        </w:numPr>
        <w:ind w:left="0" w:firstLine="283" w:firstLineChars="118"/>
        <w:rPr>
          <w:rFonts w:ascii="宋体" w:hAnsi="宋体"/>
        </w:rPr>
      </w:pPr>
      <w:r>
        <w:rPr>
          <w:rFonts w:hint="eastAsia" w:ascii="宋体" w:hAnsi="宋体"/>
        </w:rPr>
        <w:t>严格按照与甲方确定的计划进度保质保量完成工作；</w:t>
      </w:r>
    </w:p>
    <w:p>
      <w:pPr>
        <w:pStyle w:val="15"/>
        <w:numPr>
          <w:ilvl w:val="0"/>
          <w:numId w:val="8"/>
        </w:numPr>
        <w:ind w:left="0" w:firstLine="283" w:firstLineChars="118"/>
        <w:rPr>
          <w:rFonts w:ascii="宋体" w:hAnsi="宋体"/>
        </w:rPr>
      </w:pPr>
      <w:r>
        <w:rPr>
          <w:rFonts w:hint="eastAsia" w:ascii="宋体" w:hAnsi="宋体"/>
        </w:rPr>
        <w:t>规范项目实施过程中的文档管理；</w:t>
      </w:r>
    </w:p>
    <w:p>
      <w:pPr>
        <w:pStyle w:val="15"/>
        <w:numPr>
          <w:ilvl w:val="0"/>
          <w:numId w:val="8"/>
        </w:numPr>
        <w:ind w:left="0" w:firstLine="283" w:firstLineChars="118"/>
        <w:rPr>
          <w:rFonts w:ascii="宋体" w:hAnsi="宋体"/>
        </w:rPr>
      </w:pPr>
      <w:r>
        <w:rPr>
          <w:rFonts w:hint="eastAsia" w:ascii="宋体" w:hAnsi="宋体"/>
        </w:rPr>
        <w:t>项目实施中要引入风险管理、质量管理；做好项目风险管理，尽早识别项目风险，制定风险应对措施，避免风险的发生。</w:t>
      </w:r>
    </w:p>
    <w:p>
      <w:pPr>
        <w:pStyle w:val="3"/>
        <w:numPr>
          <w:ilvl w:val="1"/>
          <w:numId w:val="2"/>
        </w:numPr>
        <w:spacing w:before="120" w:after="120" w:line="360" w:lineRule="auto"/>
        <w:rPr>
          <w:rFonts w:ascii="宋体" w:hAnsi="宋体"/>
          <w:sz w:val="28"/>
          <w:szCs w:val="28"/>
        </w:rPr>
      </w:pPr>
      <w:bookmarkStart w:id="24" w:name="_Toc350715634"/>
      <w:r>
        <w:rPr>
          <w:rFonts w:hint="eastAsia" w:ascii="宋体" w:hAnsi="宋体"/>
          <w:sz w:val="28"/>
          <w:szCs w:val="28"/>
        </w:rPr>
        <w:t>总体进度安排</w:t>
      </w:r>
      <w:bookmarkEnd w:id="24"/>
    </w:p>
    <w:p>
      <w:pPr>
        <w:spacing w:line="360" w:lineRule="auto"/>
        <w:ind w:firstLine="480" w:firstLineChars="200"/>
        <w:rPr>
          <w:rFonts w:ascii="宋体" w:hAnsi="宋体"/>
          <w:sz w:val="24"/>
        </w:rPr>
      </w:pPr>
      <w:r>
        <w:rPr>
          <w:rFonts w:hint="eastAsia" w:ascii="宋体" w:hAnsi="宋体"/>
          <w:sz w:val="24"/>
        </w:rPr>
        <w:t>合同签订后</w:t>
      </w:r>
      <w:r>
        <w:rPr>
          <w:rFonts w:ascii="宋体" w:hAnsi="宋体"/>
          <w:sz w:val="24"/>
        </w:rPr>
        <w:t>2</w:t>
      </w:r>
      <w:r>
        <w:rPr>
          <w:rFonts w:hint="eastAsia" w:ascii="宋体" w:hAnsi="宋体"/>
          <w:sz w:val="24"/>
        </w:rPr>
        <w:t>个月内完成系统迁移，上线运行。</w:t>
      </w:r>
    </w:p>
    <w:p>
      <w:pPr>
        <w:pStyle w:val="2"/>
        <w:numPr>
          <w:ilvl w:val="0"/>
          <w:numId w:val="2"/>
        </w:numPr>
        <w:spacing w:before="120" w:after="120" w:line="360" w:lineRule="auto"/>
        <w:rPr>
          <w:rFonts w:ascii="黑体" w:hAnsi="黑体" w:eastAsia="黑体"/>
          <w:sz w:val="36"/>
        </w:rPr>
      </w:pPr>
      <w:r>
        <w:rPr>
          <w:rFonts w:hint="eastAsia" w:ascii="黑体" w:hAnsi="黑体" w:eastAsia="黑体"/>
          <w:sz w:val="36"/>
        </w:rPr>
        <w:t>培训</w:t>
      </w:r>
      <w:r>
        <w:rPr>
          <w:rFonts w:ascii="黑体" w:hAnsi="黑体" w:eastAsia="黑体"/>
          <w:sz w:val="36"/>
        </w:rPr>
        <w:t>服务</w:t>
      </w:r>
      <w:r>
        <w:rPr>
          <w:rFonts w:hint="eastAsia" w:ascii="黑体" w:hAnsi="黑体" w:eastAsia="黑体"/>
          <w:sz w:val="36"/>
        </w:rPr>
        <w:t>要求</w:t>
      </w:r>
    </w:p>
    <w:p>
      <w:pPr>
        <w:pStyle w:val="3"/>
        <w:numPr>
          <w:ilvl w:val="1"/>
          <w:numId w:val="2"/>
        </w:numPr>
        <w:spacing w:before="120" w:after="120" w:line="360" w:lineRule="auto"/>
        <w:rPr>
          <w:rFonts w:ascii="宋体" w:hAnsi="宋体"/>
          <w:sz w:val="28"/>
          <w:szCs w:val="28"/>
        </w:rPr>
      </w:pPr>
      <w:bookmarkStart w:id="25" w:name="_Toc350715647"/>
      <w:r>
        <w:rPr>
          <w:rFonts w:hint="eastAsia" w:ascii="宋体" w:hAnsi="宋体"/>
          <w:sz w:val="28"/>
          <w:szCs w:val="28"/>
        </w:rPr>
        <w:t>培训方案</w:t>
      </w:r>
      <w:bookmarkEnd w:id="25"/>
    </w:p>
    <w:p>
      <w:pPr>
        <w:spacing w:line="360" w:lineRule="auto"/>
        <w:ind w:firstLine="420"/>
        <w:rPr>
          <w:rFonts w:ascii="宋体" w:hAnsi="宋体"/>
          <w:sz w:val="24"/>
          <w:szCs w:val="21"/>
        </w:rPr>
      </w:pPr>
      <w:r>
        <w:rPr>
          <w:rFonts w:hint="eastAsia" w:ascii="宋体" w:hAnsi="宋体"/>
          <w:sz w:val="24"/>
          <w:szCs w:val="21"/>
        </w:rPr>
        <w:t>乙方应按甲方要求完成本项目的培训、技术咨询、技术支持等相关服务，培训方式通过现场培训、视频会议等多种方式开展，满足湖南调查总队系统应用需求。要按照甲方实施要求免费提供培训课件、培训老师等。</w:t>
      </w:r>
    </w:p>
    <w:p>
      <w:pPr>
        <w:pStyle w:val="3"/>
        <w:numPr>
          <w:ilvl w:val="1"/>
          <w:numId w:val="2"/>
        </w:numPr>
        <w:spacing w:before="120" w:after="120" w:line="360" w:lineRule="auto"/>
        <w:rPr>
          <w:rFonts w:ascii="宋体" w:hAnsi="宋体"/>
          <w:sz w:val="28"/>
          <w:szCs w:val="28"/>
        </w:rPr>
      </w:pPr>
      <w:r>
        <w:rPr>
          <w:rFonts w:hint="eastAsia" w:ascii="宋体" w:hAnsi="宋体"/>
          <w:sz w:val="28"/>
          <w:szCs w:val="28"/>
        </w:rPr>
        <w:t>现场培训</w:t>
      </w:r>
      <w:bookmarkStart w:id="37" w:name="_GoBack"/>
      <w:bookmarkEnd w:id="37"/>
    </w:p>
    <w:p>
      <w:pPr>
        <w:spacing w:line="360" w:lineRule="auto"/>
        <w:ind w:firstLine="420"/>
        <w:rPr>
          <w:rFonts w:ascii="宋体" w:hAnsi="宋体"/>
          <w:sz w:val="24"/>
          <w:szCs w:val="21"/>
        </w:rPr>
      </w:pPr>
      <w:bookmarkStart w:id="26" w:name="_Toc282732749"/>
      <w:bookmarkStart w:id="27" w:name="_Toc406265025"/>
      <w:bookmarkStart w:id="28" w:name="_Toc406406378"/>
      <w:r>
        <w:rPr>
          <w:rFonts w:hint="eastAsia" w:ascii="宋体" w:hAnsi="宋体"/>
          <w:sz w:val="24"/>
          <w:szCs w:val="21"/>
        </w:rPr>
        <w:t>现场培训部分，乙方详细制定培训方案。培训分为系统普通用户培训和系统管理员培训，乙方针对本项目特点提供详尽的现场培训计划，计划中应包括所有必要的培训内容。</w:t>
      </w:r>
    </w:p>
    <w:bookmarkEnd w:id="26"/>
    <w:bookmarkEnd w:id="27"/>
    <w:bookmarkEnd w:id="28"/>
    <w:p>
      <w:pPr>
        <w:pStyle w:val="2"/>
        <w:numPr>
          <w:ilvl w:val="0"/>
          <w:numId w:val="2"/>
        </w:numPr>
        <w:spacing w:before="120" w:after="120" w:line="360" w:lineRule="auto"/>
        <w:rPr>
          <w:rFonts w:ascii="宋体" w:hAnsi="宋体"/>
          <w:sz w:val="28"/>
          <w:szCs w:val="28"/>
        </w:rPr>
      </w:pPr>
      <w:bookmarkStart w:id="29" w:name="_Toc350715642"/>
      <w:bookmarkStart w:id="30" w:name="_Toc350715635"/>
      <w:r>
        <w:rPr>
          <w:rFonts w:hint="eastAsia" w:ascii="宋体" w:hAnsi="宋体"/>
          <w:sz w:val="28"/>
          <w:szCs w:val="28"/>
        </w:rPr>
        <w:t>售后及</w:t>
      </w:r>
      <w:r>
        <w:rPr>
          <w:rFonts w:ascii="宋体" w:hAnsi="宋体"/>
          <w:sz w:val="28"/>
          <w:szCs w:val="28"/>
        </w:rPr>
        <w:t>运维</w:t>
      </w:r>
      <w:r>
        <w:rPr>
          <w:rFonts w:hint="eastAsia" w:ascii="宋体" w:hAnsi="宋体"/>
          <w:sz w:val="28"/>
          <w:szCs w:val="28"/>
        </w:rPr>
        <w:t>服务</w:t>
      </w:r>
      <w:bookmarkEnd w:id="29"/>
      <w:r>
        <w:rPr>
          <w:rFonts w:hint="eastAsia" w:ascii="宋体" w:hAnsi="宋体"/>
          <w:sz w:val="28"/>
          <w:szCs w:val="28"/>
        </w:rPr>
        <w:t>要求</w:t>
      </w:r>
    </w:p>
    <w:p>
      <w:pPr>
        <w:pStyle w:val="3"/>
        <w:numPr>
          <w:ilvl w:val="1"/>
          <w:numId w:val="2"/>
        </w:numPr>
        <w:spacing w:before="120" w:after="120" w:line="360" w:lineRule="auto"/>
        <w:rPr>
          <w:rFonts w:ascii="宋体" w:hAnsi="宋体"/>
          <w:sz w:val="28"/>
          <w:szCs w:val="28"/>
        </w:rPr>
      </w:pPr>
      <w:bookmarkStart w:id="31" w:name="_Toc272417990"/>
      <w:bookmarkStart w:id="32" w:name="_Toc282732818"/>
      <w:bookmarkStart w:id="33" w:name="_Toc272417987"/>
      <w:bookmarkStart w:id="34" w:name="_Toc282732816"/>
      <w:r>
        <w:rPr>
          <w:rFonts w:hint="eastAsia" w:ascii="宋体" w:hAnsi="宋体"/>
          <w:sz w:val="28"/>
          <w:szCs w:val="28"/>
        </w:rPr>
        <w:t>售后服务方式</w:t>
      </w:r>
      <w:bookmarkEnd w:id="31"/>
      <w:bookmarkEnd w:id="32"/>
      <w:r>
        <w:rPr>
          <w:rFonts w:hint="eastAsia" w:ascii="宋体" w:hAnsi="宋体"/>
          <w:sz w:val="28"/>
          <w:szCs w:val="28"/>
        </w:rPr>
        <w:tab/>
      </w:r>
    </w:p>
    <w:p>
      <w:pPr>
        <w:spacing w:line="360" w:lineRule="auto"/>
        <w:ind w:firstLine="420"/>
        <w:rPr>
          <w:rFonts w:ascii="宋体" w:hAnsi="宋体"/>
          <w:sz w:val="24"/>
          <w:szCs w:val="21"/>
        </w:rPr>
      </w:pPr>
      <w:r>
        <w:rPr>
          <w:rFonts w:hint="eastAsia" w:ascii="宋体" w:hAnsi="宋体"/>
          <w:sz w:val="24"/>
          <w:szCs w:val="21"/>
        </w:rPr>
        <w:t>乙方为用户提供电话、传真、电子邮件、网上技术论坛等远程服务方式。提供7×24小时电话技术支持和保修，1工作日内必须及时响应。</w:t>
      </w:r>
    </w:p>
    <w:p>
      <w:pPr>
        <w:pStyle w:val="3"/>
        <w:numPr>
          <w:ilvl w:val="1"/>
          <w:numId w:val="2"/>
        </w:numPr>
        <w:spacing w:before="120" w:after="120" w:line="360" w:lineRule="auto"/>
        <w:rPr>
          <w:rFonts w:ascii="宋体" w:hAnsi="宋体"/>
          <w:sz w:val="28"/>
          <w:szCs w:val="28"/>
        </w:rPr>
      </w:pPr>
      <w:r>
        <w:rPr>
          <w:rFonts w:hint="eastAsia" w:ascii="宋体" w:hAnsi="宋体"/>
          <w:sz w:val="28"/>
          <w:szCs w:val="28"/>
        </w:rPr>
        <w:t>售后服务内容</w:t>
      </w:r>
      <w:bookmarkEnd w:id="33"/>
      <w:bookmarkEnd w:id="34"/>
      <w:r>
        <w:rPr>
          <w:rFonts w:hint="eastAsia" w:ascii="宋体" w:hAnsi="宋体"/>
          <w:sz w:val="28"/>
          <w:szCs w:val="28"/>
        </w:rPr>
        <w:tab/>
      </w:r>
    </w:p>
    <w:p>
      <w:pPr>
        <w:spacing w:line="360" w:lineRule="auto"/>
        <w:ind w:firstLine="420"/>
        <w:rPr>
          <w:rFonts w:ascii="宋体" w:hAnsi="宋体"/>
          <w:sz w:val="24"/>
          <w:szCs w:val="21"/>
        </w:rPr>
      </w:pPr>
      <w:r>
        <w:rPr>
          <w:rFonts w:hint="eastAsia" w:ascii="宋体" w:hAnsi="宋体"/>
          <w:sz w:val="24"/>
          <w:szCs w:val="30"/>
        </w:rPr>
        <w:t>运行维护服务主要指在定制开发的应用系统转入运行维护期后，当已有功能出现问题时进行及时补救，以及确保正常开展业务工作时对应用系统各项功能的调整和完善等。主要</w:t>
      </w:r>
      <w:r>
        <w:rPr>
          <w:rFonts w:ascii="宋体" w:hAnsi="宋体"/>
          <w:sz w:val="24"/>
          <w:szCs w:val="30"/>
        </w:rPr>
        <w:t>包括：</w:t>
      </w:r>
    </w:p>
    <w:p>
      <w:pPr>
        <w:pStyle w:val="15"/>
        <w:numPr>
          <w:ilvl w:val="0"/>
          <w:numId w:val="9"/>
        </w:numPr>
        <w:ind w:firstLineChars="0"/>
        <w:rPr>
          <w:rFonts w:ascii="宋体" w:hAnsi="宋体"/>
        </w:rPr>
      </w:pPr>
      <w:r>
        <w:rPr>
          <w:rFonts w:hint="eastAsia" w:ascii="宋体" w:hAnsi="宋体"/>
        </w:rPr>
        <w:t>系统的重新安装与调试；</w:t>
      </w:r>
    </w:p>
    <w:p>
      <w:pPr>
        <w:pStyle w:val="15"/>
        <w:numPr>
          <w:ilvl w:val="0"/>
          <w:numId w:val="9"/>
        </w:numPr>
        <w:ind w:firstLineChars="0"/>
        <w:rPr>
          <w:rFonts w:ascii="宋体" w:hAnsi="宋体"/>
        </w:rPr>
      </w:pPr>
      <w:r>
        <w:rPr>
          <w:rFonts w:hint="eastAsia" w:ascii="宋体" w:hAnsi="宋体"/>
        </w:rPr>
        <w:t>所有购置的软件产品或组件的升级；</w:t>
      </w:r>
    </w:p>
    <w:p>
      <w:pPr>
        <w:pStyle w:val="15"/>
        <w:numPr>
          <w:ilvl w:val="0"/>
          <w:numId w:val="9"/>
        </w:numPr>
        <w:ind w:firstLineChars="0"/>
        <w:rPr>
          <w:rFonts w:ascii="宋体" w:hAnsi="宋体"/>
        </w:rPr>
      </w:pPr>
      <w:r>
        <w:rPr>
          <w:rFonts w:hint="eastAsia" w:ascii="宋体" w:hAnsi="宋体"/>
        </w:rPr>
        <w:t>系统升级和功能调整与修改完善；</w:t>
      </w:r>
    </w:p>
    <w:p>
      <w:pPr>
        <w:pStyle w:val="15"/>
        <w:numPr>
          <w:ilvl w:val="0"/>
          <w:numId w:val="9"/>
        </w:numPr>
        <w:ind w:firstLineChars="0"/>
        <w:rPr>
          <w:rFonts w:ascii="宋体" w:hAnsi="宋体"/>
        </w:rPr>
      </w:pPr>
      <w:r>
        <w:rPr>
          <w:rFonts w:hint="eastAsia" w:ascii="宋体" w:hAnsi="宋体"/>
        </w:rPr>
        <w:t>系统优化；</w:t>
      </w:r>
    </w:p>
    <w:p>
      <w:pPr>
        <w:pStyle w:val="15"/>
        <w:numPr>
          <w:ilvl w:val="0"/>
          <w:numId w:val="9"/>
        </w:numPr>
        <w:ind w:firstLineChars="0"/>
        <w:rPr>
          <w:rFonts w:ascii="宋体" w:hAnsi="宋体"/>
        </w:rPr>
      </w:pPr>
      <w:r>
        <w:rPr>
          <w:rFonts w:hint="eastAsia" w:ascii="宋体" w:hAnsi="宋体"/>
        </w:rPr>
        <w:t>系统恢复服务；</w:t>
      </w:r>
    </w:p>
    <w:p>
      <w:pPr>
        <w:pStyle w:val="15"/>
        <w:numPr>
          <w:ilvl w:val="0"/>
          <w:numId w:val="9"/>
        </w:numPr>
        <w:ind w:firstLineChars="0"/>
        <w:rPr>
          <w:rFonts w:ascii="宋体" w:hAnsi="宋体"/>
        </w:rPr>
      </w:pPr>
      <w:r>
        <w:rPr>
          <w:rFonts w:hint="eastAsia" w:ascii="宋体" w:hAnsi="宋体"/>
        </w:rPr>
        <w:t>故障处理与应急响应；</w:t>
      </w:r>
    </w:p>
    <w:p>
      <w:pPr>
        <w:pStyle w:val="15"/>
        <w:numPr>
          <w:ilvl w:val="0"/>
          <w:numId w:val="9"/>
        </w:numPr>
        <w:ind w:firstLineChars="0"/>
        <w:rPr>
          <w:rFonts w:ascii="宋体" w:hAnsi="宋体"/>
        </w:rPr>
      </w:pPr>
      <w:r>
        <w:rPr>
          <w:rFonts w:hint="eastAsia" w:ascii="宋体" w:hAnsi="宋体"/>
        </w:rPr>
        <w:t>例行巡检；</w:t>
      </w:r>
    </w:p>
    <w:p>
      <w:pPr>
        <w:pStyle w:val="15"/>
        <w:numPr>
          <w:ilvl w:val="0"/>
          <w:numId w:val="9"/>
        </w:numPr>
        <w:ind w:firstLineChars="0"/>
        <w:rPr>
          <w:rFonts w:ascii="宋体" w:hAnsi="宋体"/>
        </w:rPr>
      </w:pPr>
      <w:r>
        <w:rPr>
          <w:rFonts w:hint="eastAsia" w:ascii="宋体" w:hAnsi="宋体"/>
        </w:rPr>
        <w:t>协助用户建立系统安全管理和系统使用管理制度；</w:t>
      </w:r>
    </w:p>
    <w:p>
      <w:pPr>
        <w:pStyle w:val="15"/>
        <w:numPr>
          <w:ilvl w:val="0"/>
          <w:numId w:val="9"/>
        </w:numPr>
        <w:ind w:firstLineChars="0"/>
        <w:rPr>
          <w:rFonts w:ascii="宋体" w:hAnsi="宋体"/>
        </w:rPr>
      </w:pPr>
      <w:r>
        <w:rPr>
          <w:rFonts w:hint="eastAsia" w:ascii="宋体" w:hAnsi="宋体"/>
        </w:rPr>
        <w:t>为用户提供系统升级的合理建议；</w:t>
      </w:r>
    </w:p>
    <w:p>
      <w:pPr>
        <w:pStyle w:val="15"/>
        <w:numPr>
          <w:ilvl w:val="0"/>
          <w:numId w:val="9"/>
        </w:numPr>
        <w:ind w:firstLineChars="0"/>
        <w:rPr>
          <w:rFonts w:ascii="宋体" w:hAnsi="宋体"/>
        </w:rPr>
      </w:pPr>
      <w:r>
        <w:rPr>
          <w:rFonts w:hint="eastAsia" w:ascii="宋体" w:hAnsi="宋体"/>
        </w:rPr>
        <w:t>对用户进行质量保证期内的技术培训等；</w:t>
      </w:r>
    </w:p>
    <w:p>
      <w:pPr>
        <w:pStyle w:val="3"/>
        <w:numPr>
          <w:ilvl w:val="1"/>
          <w:numId w:val="2"/>
        </w:numPr>
        <w:spacing w:before="120" w:after="120" w:line="360" w:lineRule="auto"/>
        <w:rPr>
          <w:rFonts w:ascii="宋体" w:hAnsi="宋体"/>
          <w:sz w:val="28"/>
          <w:szCs w:val="28"/>
        </w:rPr>
      </w:pPr>
      <w:bookmarkStart w:id="35" w:name="_Toc272417989"/>
      <w:bookmarkStart w:id="36" w:name="_Toc282732817"/>
      <w:r>
        <w:rPr>
          <w:rFonts w:hint="eastAsia" w:ascii="宋体" w:hAnsi="宋体"/>
          <w:sz w:val="28"/>
          <w:szCs w:val="28"/>
        </w:rPr>
        <w:t>售后服务响应时间</w:t>
      </w:r>
      <w:bookmarkEnd w:id="35"/>
      <w:bookmarkEnd w:id="36"/>
      <w:r>
        <w:rPr>
          <w:rFonts w:hint="eastAsia" w:ascii="宋体" w:hAnsi="宋体"/>
          <w:sz w:val="28"/>
          <w:szCs w:val="28"/>
        </w:rPr>
        <w:tab/>
      </w:r>
    </w:p>
    <w:p>
      <w:pPr>
        <w:spacing w:line="360" w:lineRule="auto"/>
        <w:ind w:firstLine="420"/>
        <w:rPr>
          <w:rFonts w:ascii="宋体" w:hAnsi="宋体"/>
          <w:sz w:val="24"/>
          <w:szCs w:val="21"/>
        </w:rPr>
      </w:pPr>
      <w:r>
        <w:rPr>
          <w:rFonts w:hint="eastAsia" w:ascii="宋体" w:hAnsi="宋体"/>
          <w:sz w:val="24"/>
          <w:szCs w:val="21"/>
        </w:rPr>
        <w:t>服务响应方面乙方提供7×24小时电话技术支持和保修，电话支持无法解决的问题必须按照故障响应速度要求提供现场技术支持；除电话支持外，还提供传真、特快专递、电子邮件和网上技术论坛等形式远程支持，1工作日内必须及时响应。</w:t>
      </w:r>
      <w:bookmarkEnd w:id="3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
    <w:nsid w:val="00000017"/>
    <w:multiLevelType w:val="multilevel"/>
    <w:tmpl w:val="00000017"/>
    <w:lvl w:ilvl="0" w:tentative="1">
      <w:start w:val="1"/>
      <w:numFmt w:val="decimal"/>
      <w:lvlText w:val="%1、"/>
      <w:lvlJc w:val="left"/>
      <w:pPr>
        <w:ind w:left="720" w:hanging="360"/>
      </w:pPr>
      <w:rPr>
        <w:rFonts w:hint="default" w:cs="Times New Roman"/>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36007797">
    <w:nsid w:val="02256F75"/>
    <w:multiLevelType w:val="multilevel"/>
    <w:tmpl w:val="02256F75"/>
    <w:lvl w:ilvl="0" w:tentative="1">
      <w:start w:val="1"/>
      <w:numFmt w:val="decimal"/>
      <w:lvlText w:val="（%1）"/>
      <w:lvlJc w:val="left"/>
      <w:pPr>
        <w:ind w:left="420" w:hanging="420"/>
      </w:pPr>
      <w:rPr>
        <w:rFonts w:hint="default"/>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0000000C"/>
    <w:multiLevelType w:val="multilevel"/>
    <w:tmpl w:val="0000000C"/>
    <w:lvl w:ilvl="0" w:tentative="1">
      <w:start w:val="1"/>
      <w:numFmt w:val="decimal"/>
      <w:lvlText w:val="（%1）"/>
      <w:lvlJc w:val="left"/>
      <w:pPr>
        <w:tabs>
          <w:tab w:val="left" w:pos="900"/>
        </w:tabs>
        <w:ind w:left="900" w:hanging="420"/>
      </w:pPr>
      <w:rPr>
        <w:rFonts w:hint="eastAsia" w:ascii="仿宋_GB2312" w:hAnsi="宋体" w:eastAsia="仿宋_GB2312"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8400945">
    <w:nsid w:val="1BEB3B31"/>
    <w:multiLevelType w:val="multilevel"/>
    <w:tmpl w:val="1BEB3B31"/>
    <w:lvl w:ilvl="0" w:tentative="1">
      <w:start w:val="2"/>
      <w:numFmt w:val="decimal"/>
      <w:lvlText w:val="%1"/>
      <w:lvlJc w:val="left"/>
      <w:pPr>
        <w:ind w:left="600" w:hanging="600"/>
      </w:pPr>
      <w:rPr>
        <w:rFonts w:hint="default"/>
      </w:rPr>
    </w:lvl>
    <w:lvl w:ilvl="1" w:tentative="1">
      <w:start w:val="1"/>
      <w:numFmt w:val="decimal"/>
      <w:lvlText w:val="%1.%2"/>
      <w:lvlJc w:val="left"/>
      <w:pPr>
        <w:ind w:left="600" w:hanging="60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8">
    <w:nsid w:val="00000008"/>
    <w:multiLevelType w:val="multilevel"/>
    <w:tmpl w:val="00000008"/>
    <w:lvl w:ilvl="0" w:tentative="1">
      <w:start w:val="1"/>
      <w:numFmt w:val="bullet"/>
      <w:lvlText w:val=""/>
      <w:lvlJc w:val="left"/>
      <w:pPr>
        <w:ind w:left="420" w:hanging="420"/>
      </w:pPr>
      <w:rPr>
        <w:rFonts w:hint="default" w:ascii="Symbol" w:hAnsi="Symbol"/>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42">
    <w:nsid w:val="0000002A"/>
    <w:multiLevelType w:val="multilevel"/>
    <w:tmpl w:val="0000002A"/>
    <w:lvl w:ilvl="0" w:tentative="1">
      <w:start w:val="1"/>
      <w:numFmt w:val="decimal"/>
      <w:lvlText w:val="（%1）"/>
      <w:lvlJc w:val="left"/>
      <w:pPr>
        <w:tabs>
          <w:tab w:val="left" w:pos="846"/>
        </w:tabs>
        <w:ind w:left="846" w:hanging="420"/>
      </w:pPr>
      <w:rPr>
        <w:rFonts w:ascii="仿宋_GB2312" w:hAnsi="宋体" w:eastAsia="仿宋_GB2312" w:cs="Times New Roman"/>
      </w:rPr>
    </w:lvl>
    <w:lvl w:ilvl="1" w:tentative="1">
      <w:start w:val="1"/>
      <w:numFmt w:val="bullet"/>
      <w:lvlText w:val=""/>
      <w:lvlJc w:val="left"/>
      <w:pPr>
        <w:tabs>
          <w:tab w:val="left" w:pos="1266"/>
        </w:tabs>
        <w:ind w:left="1266" w:hanging="420"/>
      </w:pPr>
      <w:rPr>
        <w:rFonts w:hint="default" w:ascii="Wingdings" w:hAnsi="Wingdings"/>
      </w:rPr>
    </w:lvl>
    <w:lvl w:ilvl="2" w:tentative="1">
      <w:start w:val="1"/>
      <w:numFmt w:val="bullet"/>
      <w:lvlText w:val=""/>
      <w:lvlJc w:val="left"/>
      <w:pPr>
        <w:tabs>
          <w:tab w:val="left" w:pos="1686"/>
        </w:tabs>
        <w:ind w:left="1686" w:hanging="420"/>
      </w:pPr>
      <w:rPr>
        <w:rFonts w:hint="default" w:ascii="Wingdings" w:hAnsi="Wingdings"/>
      </w:rPr>
    </w:lvl>
    <w:lvl w:ilvl="3" w:tentative="1">
      <w:start w:val="1"/>
      <w:numFmt w:val="bullet"/>
      <w:lvlText w:val=""/>
      <w:lvlJc w:val="left"/>
      <w:pPr>
        <w:tabs>
          <w:tab w:val="left" w:pos="2106"/>
        </w:tabs>
        <w:ind w:left="2106" w:hanging="420"/>
      </w:pPr>
      <w:rPr>
        <w:rFonts w:hint="default" w:ascii="Wingdings" w:hAnsi="Wingdings"/>
      </w:rPr>
    </w:lvl>
    <w:lvl w:ilvl="4" w:tentative="1">
      <w:start w:val="1"/>
      <w:numFmt w:val="bullet"/>
      <w:lvlText w:val=""/>
      <w:lvlJc w:val="left"/>
      <w:pPr>
        <w:tabs>
          <w:tab w:val="left" w:pos="2526"/>
        </w:tabs>
        <w:ind w:left="2526" w:hanging="420"/>
      </w:pPr>
      <w:rPr>
        <w:rFonts w:hint="default" w:ascii="Wingdings" w:hAnsi="Wingdings"/>
      </w:rPr>
    </w:lvl>
    <w:lvl w:ilvl="5" w:tentative="1">
      <w:start w:val="1"/>
      <w:numFmt w:val="bullet"/>
      <w:lvlText w:val=""/>
      <w:lvlJc w:val="left"/>
      <w:pPr>
        <w:tabs>
          <w:tab w:val="left" w:pos="2946"/>
        </w:tabs>
        <w:ind w:left="2946" w:hanging="420"/>
      </w:pPr>
      <w:rPr>
        <w:rFonts w:hint="default" w:ascii="Wingdings" w:hAnsi="Wingdings"/>
      </w:rPr>
    </w:lvl>
    <w:lvl w:ilvl="6" w:tentative="1">
      <w:start w:val="1"/>
      <w:numFmt w:val="bullet"/>
      <w:lvlText w:val=""/>
      <w:lvlJc w:val="left"/>
      <w:pPr>
        <w:tabs>
          <w:tab w:val="left" w:pos="3366"/>
        </w:tabs>
        <w:ind w:left="3366" w:hanging="420"/>
      </w:pPr>
      <w:rPr>
        <w:rFonts w:hint="default" w:ascii="Wingdings" w:hAnsi="Wingdings"/>
      </w:rPr>
    </w:lvl>
    <w:lvl w:ilvl="7" w:tentative="1">
      <w:start w:val="1"/>
      <w:numFmt w:val="bullet"/>
      <w:lvlText w:val=""/>
      <w:lvlJc w:val="left"/>
      <w:pPr>
        <w:tabs>
          <w:tab w:val="left" w:pos="3786"/>
        </w:tabs>
        <w:ind w:left="3786" w:hanging="420"/>
      </w:pPr>
      <w:rPr>
        <w:rFonts w:hint="default" w:ascii="Wingdings" w:hAnsi="Wingdings"/>
      </w:rPr>
    </w:lvl>
    <w:lvl w:ilvl="8" w:tentative="1">
      <w:start w:val="1"/>
      <w:numFmt w:val="bullet"/>
      <w:lvlText w:val=""/>
      <w:lvlJc w:val="left"/>
      <w:pPr>
        <w:tabs>
          <w:tab w:val="left" w:pos="4206"/>
        </w:tabs>
        <w:ind w:left="4206" w:hanging="420"/>
      </w:pPr>
      <w:rPr>
        <w:rFonts w:hint="default" w:ascii="Wingdings" w:hAnsi="Wingdings"/>
      </w:rPr>
    </w:lvl>
  </w:abstractNum>
  <w:abstractNum w:abstractNumId="888496104">
    <w:nsid w:val="34F55FE8"/>
    <w:multiLevelType w:val="multilevel"/>
    <w:tmpl w:val="34F55FE8"/>
    <w:lvl w:ilvl="0" w:tentative="1">
      <w:start w:val="1"/>
      <w:numFmt w:val="decimal"/>
      <w:lvlText w:val="%1."/>
      <w:lvlJc w:val="left"/>
      <w:pPr>
        <w:ind w:left="425" w:hanging="425"/>
      </w:pPr>
    </w:lvl>
    <w:lvl w:ilvl="1" w:tentative="1">
      <w:start w:val="1"/>
      <w:numFmt w:val="decimal"/>
      <w:lvlText w:val="%1.%2."/>
      <w:lvlJc w:val="left"/>
      <w:pPr>
        <w:ind w:left="567" w:hanging="567"/>
      </w:pPr>
    </w:lvl>
    <w:lvl w:ilvl="2" w:tentative="1">
      <w:start w:val="1"/>
      <w:numFmt w:val="decimal"/>
      <w:lvlText w:val="%1.%2.%3."/>
      <w:lvlJc w:val="left"/>
      <w:pPr>
        <w:ind w:left="709" w:hanging="709"/>
      </w:pPr>
    </w:lvl>
    <w:lvl w:ilvl="3" w:tentative="1">
      <w:start w:val="1"/>
      <w:numFmt w:val="decimal"/>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1273628092">
    <w:nsid w:val="4BEA05BC"/>
    <w:multiLevelType w:val="multilevel"/>
    <w:tmpl w:val="4BEA05BC"/>
    <w:lvl w:ilvl="0" w:tentative="1">
      <w:start w:val="1"/>
      <w:numFmt w:val="decimal"/>
      <w:pStyle w:val="16"/>
      <w:lvlText w:val="%1."/>
      <w:lvlJc w:val="left"/>
      <w:pPr>
        <w:ind w:left="425" w:hanging="425"/>
      </w:pPr>
    </w:lvl>
    <w:lvl w:ilvl="1" w:tentative="1">
      <w:start w:val="1"/>
      <w:numFmt w:val="decimal"/>
      <w:pStyle w:val="19"/>
      <w:lvlText w:val="%1.%2."/>
      <w:lvlJc w:val="left"/>
      <w:pPr>
        <w:ind w:left="567" w:hanging="567"/>
      </w:pPr>
    </w:lvl>
    <w:lvl w:ilvl="2" w:tentative="1">
      <w:start w:val="1"/>
      <w:numFmt w:val="decimal"/>
      <w:pStyle w:val="18"/>
      <w:lvlText w:val="%1.%2.%3."/>
      <w:lvlJc w:val="left"/>
      <w:pPr>
        <w:ind w:left="709" w:hanging="709"/>
      </w:pPr>
    </w:lvl>
    <w:lvl w:ilvl="3" w:tentative="1">
      <w:start w:val="1"/>
      <w:numFmt w:val="decimal"/>
      <w:pStyle w:val="17"/>
      <w:lvlText w:val="%1.%2.%3.%4."/>
      <w:lvlJc w:val="left"/>
      <w:pPr>
        <w:ind w:left="851" w:hanging="851"/>
      </w:pPr>
    </w:lvl>
    <w:lvl w:ilvl="4" w:tentative="1">
      <w:start w:val="1"/>
      <w:numFmt w:val="decimal"/>
      <w:lvlText w:val="%1.%2.%3.%4.%5."/>
      <w:lvlJc w:val="left"/>
      <w:pPr>
        <w:ind w:left="992" w:hanging="992"/>
      </w:pPr>
    </w:lvl>
    <w:lvl w:ilvl="5" w:tentative="1">
      <w:start w:val="1"/>
      <w:numFmt w:val="decimal"/>
      <w:lvlText w:val="%1.%2.%3.%4.%5.%6."/>
      <w:lvlJc w:val="left"/>
      <w:pPr>
        <w:ind w:left="1134" w:hanging="1134"/>
      </w:pPr>
    </w:lvl>
    <w:lvl w:ilvl="6" w:tentative="1">
      <w:start w:val="1"/>
      <w:numFmt w:val="decimal"/>
      <w:lvlText w:val="%1.%2.%3.%4.%5.%6.%7."/>
      <w:lvlJc w:val="left"/>
      <w:pPr>
        <w:ind w:left="1276" w:hanging="1276"/>
      </w:pPr>
    </w:lvl>
    <w:lvl w:ilvl="7" w:tentative="1">
      <w:start w:val="1"/>
      <w:numFmt w:val="decimal"/>
      <w:lvlText w:val="%1.%2.%3.%4.%5.%6.%7.%8."/>
      <w:lvlJc w:val="left"/>
      <w:pPr>
        <w:ind w:left="1418" w:hanging="1418"/>
      </w:pPr>
    </w:lvl>
    <w:lvl w:ilvl="8" w:tentative="1">
      <w:start w:val="1"/>
      <w:numFmt w:val="decimal"/>
      <w:lvlText w:val="%1.%2.%3.%4.%5.%6.%7.%8.%9."/>
      <w:lvlJc w:val="left"/>
      <w:pPr>
        <w:ind w:left="1559" w:hanging="1559"/>
      </w:pPr>
    </w:lvl>
  </w:abstractNum>
  <w:abstractNum w:abstractNumId="1149446781">
    <w:nsid w:val="44832A7D"/>
    <w:multiLevelType w:val="multilevel"/>
    <w:tmpl w:val="44832A7D"/>
    <w:lvl w:ilvl="0" w:tentative="1">
      <w:start w:val="1"/>
      <w:numFmt w:val="decimal"/>
      <w:lvlText w:val="(%1)"/>
      <w:lvlJc w:val="left"/>
      <w:pPr>
        <w:ind w:left="840" w:hanging="420"/>
      </w:pPr>
      <w:rPr>
        <w:rFonts w:hint="default"/>
      </w:rPr>
    </w:lvl>
    <w:lvl w:ilvl="1" w:tentative="1">
      <w:start w:val="1"/>
      <w:numFmt w:val="decimal"/>
      <w:lvlText w:val="(%2)"/>
      <w:lvlJc w:val="left"/>
      <w:pPr>
        <w:ind w:left="1260" w:hanging="42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273628092"/>
  </w:num>
  <w:num w:numId="2">
    <w:abstractNumId w:val="888496104"/>
  </w:num>
  <w:num w:numId="3">
    <w:abstractNumId w:val="23"/>
  </w:num>
  <w:num w:numId="4">
    <w:abstractNumId w:val="468400945"/>
  </w:num>
  <w:num w:numId="5">
    <w:abstractNumId w:val="8"/>
  </w:num>
  <w:num w:numId="6">
    <w:abstractNumId w:val="42"/>
  </w:num>
  <w:num w:numId="7">
    <w:abstractNumId w:val="12"/>
  </w:num>
  <w:num w:numId="8">
    <w:abstractNumId w:val="36007797"/>
  </w:num>
  <w:num w:numId="9">
    <w:abstractNumId w:val="11494467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D59CF"/>
    <w:rsid w:val="0000734B"/>
    <w:rsid w:val="0008404C"/>
    <w:rsid w:val="001537C7"/>
    <w:rsid w:val="001C41E0"/>
    <w:rsid w:val="00223B26"/>
    <w:rsid w:val="002A439F"/>
    <w:rsid w:val="002D59CF"/>
    <w:rsid w:val="006F58EC"/>
    <w:rsid w:val="008414C7"/>
    <w:rsid w:val="00863D8D"/>
    <w:rsid w:val="00A15805"/>
    <w:rsid w:val="00AA7A09"/>
    <w:rsid w:val="00C82292"/>
    <w:rsid w:val="00CD08B5"/>
    <w:rsid w:val="00CD6835"/>
    <w:rsid w:val="00D40547"/>
    <w:rsid w:val="00F63E7D"/>
    <w:rsid w:val="00F85E84"/>
    <w:rsid w:val="0A04128A"/>
    <w:rsid w:val="1EDB762C"/>
    <w:rsid w:val="1FA35574"/>
    <w:rsid w:val="31E0035C"/>
    <w:rsid w:val="3D2A5D69"/>
    <w:rsid w:val="6BAB004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22"/>
    <w:qFormat/>
    <w:uiPriority w:val="9"/>
    <w:pPr>
      <w:keepNext/>
      <w:keepLines/>
      <w:spacing w:before="340" w:after="330" w:line="576" w:lineRule="auto"/>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link w:val="2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4"/>
    <w:qFormat/>
    <w:uiPriority w:val="9"/>
    <w:pPr>
      <w:keepNext/>
      <w:keepLines/>
      <w:spacing w:before="260" w:after="260" w:line="413" w:lineRule="auto"/>
      <w:outlineLvl w:val="2"/>
    </w:pPr>
    <w:rPr>
      <w:b/>
      <w:sz w:val="32"/>
    </w:rPr>
  </w:style>
  <w:style w:type="paragraph" w:styleId="5">
    <w:name w:val="heading 4"/>
    <w:basedOn w:val="1"/>
    <w:next w:val="1"/>
    <w:link w:val="25"/>
    <w:unhideWhenUsed/>
    <w:qFormat/>
    <w:uiPriority w:val="9"/>
    <w:pPr>
      <w:keepNext/>
      <w:keepLines/>
      <w:spacing w:before="280" w:after="290" w:line="376" w:lineRule="auto"/>
      <w:outlineLvl w:val="3"/>
    </w:pPr>
    <w:rPr>
      <w:rFonts w:ascii="Calibri Light" w:hAnsi="Calibri Light" w:cs="黑体"/>
      <w:b/>
      <w:bCs/>
      <w:sz w:val="28"/>
      <w:szCs w:val="28"/>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6">
    <w:name w:val="footer"/>
    <w:basedOn w:val="1"/>
    <w:link w:val="21"/>
    <w:unhideWhenUsed/>
    <w:uiPriority w:val="99"/>
    <w:pPr>
      <w:tabs>
        <w:tab w:val="center" w:pos="4153"/>
        <w:tab w:val="right" w:pos="8306"/>
      </w:tabs>
      <w:snapToGrid w:val="0"/>
      <w:jc w:val="left"/>
    </w:pPr>
    <w:rPr>
      <w:sz w:val="18"/>
      <w:szCs w:val="18"/>
    </w:rPr>
  </w:style>
  <w:style w:type="paragraph" w:styleId="7">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unhideWhenUsed/>
    <w:uiPriority w:val="0"/>
    <w:rPr>
      <w:rFonts w:eastAsia="Arial"/>
      <w:kern w:val="2"/>
      <w:sz w:val="24"/>
      <w:szCs w:val="24"/>
      <w:lang w:val="en-US" w:eastAsia="zh-CN" w:bidi="ar-SA"/>
    </w:rPr>
  </w:style>
  <w:style w:type="table" w:styleId="11">
    <w:name w:val="Table Grid"/>
    <w:basedOn w:val="10"/>
    <w:uiPriority w:val="3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2">
    <w:name w:val="B表格序号"/>
    <w:basedOn w:val="13"/>
    <w:qFormat/>
    <w:uiPriority w:val="0"/>
    <w:pPr>
      <w:jc w:val="center"/>
    </w:pPr>
    <w:rPr>
      <w:sz w:val="24"/>
    </w:rPr>
  </w:style>
  <w:style w:type="paragraph" w:customStyle="1" w:styleId="13">
    <w:name w:val="B表格正文"/>
    <w:next w:val="14"/>
    <w:qFormat/>
    <w:uiPriority w:val="0"/>
    <w:rPr>
      <w:rFonts w:ascii="Calibri" w:hAnsi="Calibri" w:eastAsia="黑体" w:cs="Times New Roman"/>
      <w:kern w:val="2"/>
      <w:sz w:val="21"/>
      <w:szCs w:val="21"/>
      <w:lang w:val="en-US" w:eastAsia="zh-CN" w:bidi="ar-SA"/>
    </w:rPr>
  </w:style>
  <w:style w:type="paragraph" w:customStyle="1" w:styleId="14">
    <w:name w:val="B表头样式"/>
    <w:next w:val="1"/>
    <w:qFormat/>
    <w:uiPriority w:val="0"/>
    <w:pPr>
      <w:jc w:val="center"/>
    </w:pPr>
    <w:rPr>
      <w:rFonts w:ascii="Calibri" w:hAnsi="Calibri" w:eastAsia="黑体" w:cs="Times New Roman"/>
      <w:b/>
      <w:kern w:val="2"/>
      <w:sz w:val="21"/>
      <w:szCs w:val="21"/>
      <w:lang w:val="en-US" w:eastAsia="zh-CN" w:bidi="ar-SA"/>
    </w:rPr>
  </w:style>
  <w:style w:type="paragraph" w:customStyle="1" w:styleId="15">
    <w:name w:val="列出段落1"/>
    <w:basedOn w:val="1"/>
    <w:qFormat/>
    <w:uiPriority w:val="0"/>
    <w:pPr>
      <w:spacing w:line="360" w:lineRule="auto"/>
      <w:ind w:firstLine="420" w:firstLineChars="200"/>
    </w:pPr>
    <w:rPr>
      <w:rFonts w:ascii="Calibri" w:hAnsi="Calibri"/>
      <w:sz w:val="24"/>
      <w:szCs w:val="21"/>
    </w:rPr>
  </w:style>
  <w:style w:type="paragraph" w:customStyle="1" w:styleId="16">
    <w:name w:val="样式 标题 1 + 四号 居中 段前: 12 磅 段后: 12 磅 行距: 单倍行距"/>
    <w:basedOn w:val="2"/>
    <w:uiPriority w:val="0"/>
    <w:pPr>
      <w:widowControl w:val="0"/>
      <w:numPr>
        <w:ilvl w:val="0"/>
        <w:numId w:val="1"/>
      </w:numPr>
      <w:adjustRightInd w:val="0"/>
      <w:spacing w:before="240" w:after="240" w:line="240" w:lineRule="auto"/>
      <w:jc w:val="center"/>
      <w:textAlignment w:val="baseline"/>
    </w:pPr>
    <w:rPr>
      <w:rFonts w:cs="宋体"/>
      <w:sz w:val="28"/>
      <w:szCs w:val="20"/>
    </w:rPr>
  </w:style>
  <w:style w:type="paragraph" w:customStyle="1" w:styleId="17">
    <w:name w:val="样式 标题 4 + 段前: 5 磅 段后: 5 磅 行距: 单倍行距"/>
    <w:basedOn w:val="5"/>
    <w:uiPriority w:val="0"/>
    <w:pPr>
      <w:numPr>
        <w:ilvl w:val="3"/>
        <w:numId w:val="1"/>
      </w:numPr>
      <w:adjustRightInd w:val="0"/>
      <w:spacing w:before="100" w:after="100" w:line="240" w:lineRule="auto"/>
      <w:jc w:val="left"/>
      <w:textAlignment w:val="baseline"/>
    </w:pPr>
    <w:rPr>
      <w:rFonts w:ascii="Arial" w:hAnsi="Arial" w:eastAsia="黑体" w:cs="宋体"/>
      <w:kern w:val="0"/>
      <w:szCs w:val="20"/>
    </w:rPr>
  </w:style>
  <w:style w:type="paragraph" w:customStyle="1" w:styleId="18">
    <w:name w:val="样式 标题 3h3H3sect1.2.3 + 五号 段前: 6 磅 段后: 6 磅 行距: 单倍行距"/>
    <w:basedOn w:val="4"/>
    <w:uiPriority w:val="0"/>
    <w:pPr>
      <w:numPr>
        <w:ilvl w:val="2"/>
        <w:numId w:val="1"/>
      </w:numPr>
      <w:adjustRightInd w:val="0"/>
      <w:spacing w:before="120" w:after="120" w:line="240" w:lineRule="auto"/>
      <w:jc w:val="left"/>
      <w:textAlignment w:val="baseline"/>
    </w:pPr>
    <w:rPr>
      <w:rFonts w:cs="宋体"/>
      <w:bCs/>
      <w:kern w:val="0"/>
      <w:sz w:val="21"/>
      <w:szCs w:val="20"/>
    </w:rPr>
  </w:style>
  <w:style w:type="paragraph" w:customStyle="1" w:styleId="19">
    <w:name w:val="样式 标题 2 + 宋体 五号 非加粗 黑色"/>
    <w:basedOn w:val="3"/>
    <w:uiPriority w:val="0"/>
    <w:pPr>
      <w:numPr>
        <w:ilvl w:val="1"/>
        <w:numId w:val="1"/>
      </w:numPr>
      <w:adjustRightInd w:val="0"/>
      <w:spacing w:line="416" w:lineRule="atLeast"/>
      <w:jc w:val="left"/>
      <w:textAlignment w:val="baseline"/>
    </w:pPr>
    <w:rPr>
      <w:rFonts w:ascii="宋体" w:hAnsi="宋体" w:eastAsia="宋体"/>
      <w:b w:val="0"/>
      <w:color w:val="000000"/>
      <w:kern w:val="0"/>
      <w:sz w:val="21"/>
      <w:szCs w:val="32"/>
    </w:rPr>
  </w:style>
  <w:style w:type="character" w:customStyle="1" w:styleId="20">
    <w:name w:val="页眉 Char"/>
    <w:link w:val="7"/>
    <w:uiPriority w:val="99"/>
    <w:rPr>
      <w:sz w:val="18"/>
      <w:szCs w:val="18"/>
    </w:rPr>
  </w:style>
  <w:style w:type="character" w:customStyle="1" w:styleId="21">
    <w:name w:val="页脚 Char"/>
    <w:link w:val="6"/>
    <w:uiPriority w:val="99"/>
    <w:rPr>
      <w:sz w:val="18"/>
      <w:szCs w:val="18"/>
    </w:rPr>
  </w:style>
  <w:style w:type="character" w:customStyle="1" w:styleId="22">
    <w:name w:val="标题 1 Char"/>
    <w:link w:val="2"/>
    <w:uiPriority w:val="9"/>
    <w:rPr>
      <w:rFonts w:ascii="Times New Roman" w:hAnsi="Times New Roman" w:eastAsia="宋体" w:cs="Times New Roman"/>
      <w:b/>
      <w:bCs/>
      <w:kern w:val="44"/>
      <w:sz w:val="44"/>
      <w:szCs w:val="44"/>
    </w:rPr>
  </w:style>
  <w:style w:type="character" w:customStyle="1" w:styleId="23">
    <w:name w:val="标题 2 Char"/>
    <w:link w:val="3"/>
    <w:uiPriority w:val="0"/>
    <w:rPr>
      <w:rFonts w:ascii="Arial" w:hAnsi="Arial" w:eastAsia="黑体" w:cs="Times New Roman"/>
      <w:b/>
      <w:sz w:val="32"/>
      <w:szCs w:val="24"/>
    </w:rPr>
  </w:style>
  <w:style w:type="character" w:customStyle="1" w:styleId="24">
    <w:name w:val="标题 3 Char"/>
    <w:link w:val="4"/>
    <w:uiPriority w:val="9"/>
    <w:rPr>
      <w:rFonts w:ascii="Times New Roman" w:hAnsi="Times New Roman" w:eastAsia="宋体" w:cs="Times New Roman"/>
      <w:b/>
      <w:sz w:val="32"/>
      <w:szCs w:val="24"/>
    </w:rPr>
  </w:style>
  <w:style w:type="character" w:customStyle="1" w:styleId="25">
    <w:name w:val="标题 4 Char"/>
    <w:link w:val="5"/>
    <w:semiHidden/>
    <w:uiPriority w:val="9"/>
    <w:rPr>
      <w:rFonts w:ascii="Calibri Light" w:hAnsi="Calibri Light" w:eastAsia="宋体" w:cs="黑体"/>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717</Words>
  <Characters>4088</Characters>
  <Lines>34</Lines>
  <Paragraphs>9</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2017-04-20T13:29:00Z</dcterms:created>
  <dc:creator>许振锴</dc:creator>
  <cp:lastModifiedBy>张丹(处理函件)</cp:lastModifiedBy>
  <dcterms:modified xsi:type="dcterms:W3CDTF">2017-12-07T02:17:05Z</dcterms:modified>
  <dc:title>附件1：项目任务书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